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95E5C" w14:textId="77777777" w:rsidR="008E74CA" w:rsidRPr="00BD102E" w:rsidRDefault="008E74CA" w:rsidP="00BD102E">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t>Introduction</w:t>
      </w:r>
    </w:p>
    <w:p w14:paraId="0485DEB2" w14:textId="4B4DCD95"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ab/>
        <w:t xml:space="preserve">Do you use Walgreens’ Balance® Rewards or CVS </w:t>
      </w:r>
      <w:proofErr w:type="spellStart"/>
      <w:r w:rsidRPr="00BD102E">
        <w:rPr>
          <w:rFonts w:ascii="Times New Roman" w:hAnsi="Times New Roman" w:cs="Times New Roman"/>
          <w:sz w:val="24"/>
          <w:szCs w:val="24"/>
        </w:rPr>
        <w:t>ExtraCare</w:t>
      </w:r>
      <w:proofErr w:type="spellEnd"/>
      <w:r w:rsidRPr="00BD102E">
        <w:rPr>
          <w:rFonts w:ascii="Times New Roman" w:hAnsi="Times New Roman" w:cs="Times New Roman"/>
          <w:sz w:val="24"/>
          <w:szCs w:val="24"/>
        </w:rPr>
        <w:t xml:space="preserve">® Rewards Programs? Before becoming the Walgreens that is known today, the drugstore conglomerate started its humble beginning in 1901, when Charles R. Walgreen </w:t>
      </w:r>
      <w:r w:rsidR="00EA507A" w:rsidRPr="00BD102E">
        <w:rPr>
          <w:rFonts w:ascii="Times New Roman" w:hAnsi="Times New Roman" w:cs="Times New Roman"/>
          <w:sz w:val="24"/>
          <w:szCs w:val="24"/>
        </w:rPr>
        <w:t>invested $6,000 into the purchase of</w:t>
      </w:r>
      <w:r w:rsidRPr="00BD102E">
        <w:rPr>
          <w:rFonts w:ascii="Times New Roman" w:hAnsi="Times New Roman" w:cs="Times New Roman"/>
          <w:sz w:val="24"/>
          <w:szCs w:val="24"/>
        </w:rPr>
        <w:t xml:space="preserve"> the drugstore where he worked as a pharmacist </w:t>
      </w:r>
      <w:r w:rsidR="00EA507A" w:rsidRPr="00BD102E">
        <w:rPr>
          <w:rFonts w:ascii="Times New Roman" w:hAnsi="Times New Roman" w:cs="Times New Roman"/>
          <w:sz w:val="24"/>
          <w:szCs w:val="24"/>
        </w:rPr>
        <w:t>in Chicago, IL</w:t>
      </w:r>
      <w:r w:rsidRPr="00BD102E">
        <w:rPr>
          <w:rFonts w:ascii="Times New Roman" w:hAnsi="Times New Roman" w:cs="Times New Roman"/>
          <w:sz w:val="24"/>
          <w:szCs w:val="24"/>
        </w:rPr>
        <w:t>. Sixty-two years later in 1963 in Lowell, Massachusetts</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 brothers Stanley and Sidney Goldstein, and partner Ralph Hoagland opened the doors to the very first CVS pharmacy™ (Consumer Value Stores)</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 selling health and beauty products. Over the years</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 both companies have not only evolved and transformed how pharmacies do business, the chains </w:t>
      </w:r>
      <w:r w:rsidR="00EA507A" w:rsidRPr="00BD102E">
        <w:rPr>
          <w:rFonts w:ascii="Times New Roman" w:hAnsi="Times New Roman" w:cs="Times New Roman"/>
          <w:sz w:val="24"/>
          <w:szCs w:val="24"/>
        </w:rPr>
        <w:t>have become the two</w:t>
      </w:r>
      <w:r w:rsidRPr="00BD102E">
        <w:rPr>
          <w:rFonts w:ascii="Times New Roman" w:hAnsi="Times New Roman" w:cs="Times New Roman"/>
          <w:sz w:val="24"/>
          <w:szCs w:val="24"/>
        </w:rPr>
        <w:t xml:space="preserve"> largest pharmacies in the United States</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 </w:t>
      </w:r>
      <w:r w:rsidR="00EA507A" w:rsidRPr="00BD102E">
        <w:rPr>
          <w:rFonts w:ascii="Times New Roman" w:hAnsi="Times New Roman" w:cs="Times New Roman"/>
          <w:sz w:val="24"/>
          <w:szCs w:val="24"/>
        </w:rPr>
        <w:t>R</w:t>
      </w:r>
      <w:r w:rsidRPr="00BD102E">
        <w:rPr>
          <w:rFonts w:ascii="Times New Roman" w:hAnsi="Times New Roman" w:cs="Times New Roman"/>
          <w:sz w:val="24"/>
          <w:szCs w:val="24"/>
        </w:rPr>
        <w:t>espectively</w:t>
      </w:r>
      <w:r w:rsidR="00EA507A" w:rsidRPr="00BD102E">
        <w:rPr>
          <w:rFonts w:ascii="Times New Roman" w:hAnsi="Times New Roman" w:cs="Times New Roman"/>
          <w:sz w:val="24"/>
          <w:szCs w:val="24"/>
        </w:rPr>
        <w:t>, they</w:t>
      </w:r>
      <w:r w:rsidRPr="00BD102E">
        <w:rPr>
          <w:rFonts w:ascii="Times New Roman" w:hAnsi="Times New Roman" w:cs="Times New Roman"/>
          <w:sz w:val="24"/>
          <w:szCs w:val="24"/>
        </w:rPr>
        <w:t xml:space="preserve"> rank numbers one (1) and two (2)</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 with CVS pharmacy™ serving as the largest.  In fact, Walgreens and CVS pharmacy™ together control at least half of the drugstore market share in almost every major U.S. city (Stern, 2015) from coast to coast. As of August 31, 2019, Walgreens operated approximately 9,277 locations throughout all 50 states ("Newsroom," n.d.) and CVS pharmacy™ operates 9,990 locations in 49 states, the District of Columbia and Puerto Rico ("Company information, facts &amp; figures," n.d.). Whether one</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s preference is Walgreens, CVS pharmacy™, or neither, this paper will examine these two entities from a financial perspective to determine which one is currently performing the best financially, and recommend which of the two would be the better choice to place one</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s investment. </w:t>
      </w:r>
    </w:p>
    <w:p w14:paraId="1EBCFC07" w14:textId="1E0C3954"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ab/>
        <w:t xml:space="preserve">Globally, the health care industry is one of the largest and </w:t>
      </w:r>
      <w:r w:rsidR="00EA507A" w:rsidRPr="00BD102E">
        <w:rPr>
          <w:rFonts w:ascii="Times New Roman" w:hAnsi="Times New Roman" w:cs="Times New Roman"/>
          <w:sz w:val="24"/>
          <w:szCs w:val="24"/>
        </w:rPr>
        <w:t>fastest growing</w:t>
      </w:r>
      <w:r w:rsidRPr="00BD102E">
        <w:rPr>
          <w:rFonts w:ascii="Times New Roman" w:hAnsi="Times New Roman" w:cs="Times New Roman"/>
          <w:sz w:val="24"/>
          <w:szCs w:val="24"/>
        </w:rPr>
        <w:t xml:space="preserve"> of the eleven industries that are classified by the Global Industry Classification Standard (GICS). Health care in the U.S. has been</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 and remains to be</w:t>
      </w:r>
      <w:r w:rsidR="00EA507A" w:rsidRPr="00BD102E">
        <w:rPr>
          <w:rFonts w:ascii="Times New Roman" w:hAnsi="Times New Roman" w:cs="Times New Roman"/>
          <w:sz w:val="24"/>
          <w:szCs w:val="24"/>
        </w:rPr>
        <w:t>,</w:t>
      </w:r>
      <w:r w:rsidRPr="00BD102E">
        <w:rPr>
          <w:rFonts w:ascii="Times New Roman" w:hAnsi="Times New Roman" w:cs="Times New Roman"/>
          <w:sz w:val="24"/>
          <w:szCs w:val="24"/>
        </w:rPr>
        <w:t xml:space="preserve"> one of the most important social and economic issues facing the country today</w:t>
      </w:r>
      <w:r w:rsidR="00EA507A" w:rsidRPr="00BD102E">
        <w:rPr>
          <w:rFonts w:ascii="Times New Roman" w:hAnsi="Times New Roman" w:cs="Times New Roman"/>
          <w:sz w:val="24"/>
          <w:szCs w:val="24"/>
        </w:rPr>
        <w:t>.  W</w:t>
      </w:r>
      <w:r w:rsidRPr="00BD102E">
        <w:rPr>
          <w:rFonts w:ascii="Times New Roman" w:hAnsi="Times New Roman" w:cs="Times New Roman"/>
          <w:sz w:val="24"/>
          <w:szCs w:val="24"/>
        </w:rPr>
        <w:t xml:space="preserve">hile current trends in the industry are shifting from a volume-based  model to a value-based model, </w:t>
      </w:r>
      <w:r w:rsidR="00EA507A" w:rsidRPr="00BD102E">
        <w:rPr>
          <w:rFonts w:ascii="Times New Roman" w:hAnsi="Times New Roman" w:cs="Times New Roman"/>
          <w:sz w:val="24"/>
          <w:szCs w:val="24"/>
        </w:rPr>
        <w:t>which means</w:t>
      </w:r>
      <w:r w:rsidRPr="00BD102E">
        <w:rPr>
          <w:rFonts w:ascii="Times New Roman" w:hAnsi="Times New Roman" w:cs="Times New Roman"/>
          <w:sz w:val="24"/>
          <w:szCs w:val="24"/>
        </w:rPr>
        <w:t xml:space="preserve"> lesser revenues for providers, ("US healthcare </w:t>
      </w:r>
      <w:r w:rsidRPr="00BD102E">
        <w:rPr>
          <w:rFonts w:ascii="Times New Roman" w:hAnsi="Times New Roman" w:cs="Times New Roman"/>
          <w:sz w:val="24"/>
          <w:szCs w:val="24"/>
        </w:rPr>
        <w:lastRenderedPageBreak/>
        <w:t>industry trends 2019 | Infiniti research identifies the biggest healthcare industry trends of the year," 2019) it remains to be seen how this market shift will affect Walgreens and CVS pharmacy™ financially. The most recent statistical data of 2019 shows that in the U.S. Walgreens holds 18.9% of the prescription drug market while CVS pharmacy™ boasts 24.5% (</w:t>
      </w:r>
      <w:proofErr w:type="spellStart"/>
      <w:r w:rsidRPr="00BD102E">
        <w:rPr>
          <w:rFonts w:ascii="Times New Roman" w:hAnsi="Times New Roman" w:cs="Times New Roman"/>
          <w:sz w:val="24"/>
          <w:szCs w:val="24"/>
        </w:rPr>
        <w:t>Mikulic</w:t>
      </w:r>
      <w:proofErr w:type="spellEnd"/>
      <w:r w:rsidRPr="00BD102E">
        <w:rPr>
          <w:rFonts w:ascii="Times New Roman" w:hAnsi="Times New Roman" w:cs="Times New Roman"/>
          <w:sz w:val="24"/>
          <w:szCs w:val="24"/>
        </w:rPr>
        <w:t>, 2020). It is important to note, however, that although the health care industry is growing and both entities hold a significant market share</w:t>
      </w:r>
      <w:r w:rsidR="00404929" w:rsidRPr="00BD102E">
        <w:rPr>
          <w:rFonts w:ascii="Times New Roman" w:hAnsi="Times New Roman" w:cs="Times New Roman"/>
          <w:sz w:val="24"/>
          <w:szCs w:val="24"/>
        </w:rPr>
        <w:t>,</w:t>
      </w:r>
      <w:r w:rsidRPr="00BD102E">
        <w:rPr>
          <w:rFonts w:ascii="Times New Roman" w:hAnsi="Times New Roman" w:cs="Times New Roman"/>
          <w:sz w:val="24"/>
          <w:szCs w:val="24"/>
        </w:rPr>
        <w:t xml:space="preserve"> these “traditional” pharmacies not only compete with one another, </w:t>
      </w:r>
      <w:r w:rsidR="00404929" w:rsidRPr="00BD102E">
        <w:rPr>
          <w:rFonts w:ascii="Times New Roman" w:hAnsi="Times New Roman" w:cs="Times New Roman"/>
          <w:sz w:val="24"/>
          <w:szCs w:val="24"/>
        </w:rPr>
        <w:t>they are</w:t>
      </w:r>
      <w:r w:rsidRPr="00BD102E">
        <w:rPr>
          <w:rFonts w:ascii="Times New Roman" w:hAnsi="Times New Roman" w:cs="Times New Roman"/>
          <w:sz w:val="24"/>
          <w:szCs w:val="24"/>
        </w:rPr>
        <w:t xml:space="preserve"> also competing with the growth of online pharmacies.  By examining both compan</w:t>
      </w:r>
      <w:r w:rsidR="00404929" w:rsidRPr="00BD102E">
        <w:rPr>
          <w:rFonts w:ascii="Times New Roman" w:hAnsi="Times New Roman" w:cs="Times New Roman"/>
          <w:sz w:val="24"/>
          <w:szCs w:val="24"/>
        </w:rPr>
        <w:t>ies’</w:t>
      </w:r>
      <w:r w:rsidRPr="00BD102E">
        <w:rPr>
          <w:rFonts w:ascii="Times New Roman" w:hAnsi="Times New Roman" w:cs="Times New Roman"/>
          <w:sz w:val="24"/>
          <w:szCs w:val="24"/>
        </w:rPr>
        <w:t xml:space="preserve"> </w:t>
      </w:r>
      <w:bookmarkStart w:id="0" w:name="_Hlk52484001"/>
      <w:r w:rsidRPr="00BD102E">
        <w:rPr>
          <w:rFonts w:ascii="Times New Roman" w:hAnsi="Times New Roman" w:cs="Times New Roman"/>
          <w:sz w:val="24"/>
          <w:szCs w:val="24"/>
        </w:rPr>
        <w:t>current debt, profitability, operating and investment valuation ratios, a</w:t>
      </w:r>
      <w:r w:rsidR="00404929" w:rsidRPr="00BD102E">
        <w:rPr>
          <w:rFonts w:ascii="Times New Roman" w:hAnsi="Times New Roman" w:cs="Times New Roman"/>
          <w:sz w:val="24"/>
          <w:szCs w:val="24"/>
        </w:rPr>
        <w:t>nd</w:t>
      </w:r>
      <w:r w:rsidRPr="00BD102E">
        <w:rPr>
          <w:rFonts w:ascii="Times New Roman" w:hAnsi="Times New Roman" w:cs="Times New Roman"/>
          <w:sz w:val="24"/>
          <w:szCs w:val="24"/>
        </w:rPr>
        <w:t xml:space="preserve"> cash flow</w:t>
      </w:r>
      <w:bookmarkEnd w:id="0"/>
      <w:r w:rsidRPr="00BD102E">
        <w:rPr>
          <w:rFonts w:ascii="Times New Roman" w:hAnsi="Times New Roman" w:cs="Times New Roman"/>
          <w:sz w:val="24"/>
          <w:szCs w:val="24"/>
        </w:rPr>
        <w:t>, the findings will support the recommendation of which pharmacy to invest in that will offer the best return on one</w:t>
      </w:r>
      <w:r w:rsidR="00404929" w:rsidRPr="00BD102E">
        <w:rPr>
          <w:rFonts w:ascii="Times New Roman" w:hAnsi="Times New Roman" w:cs="Times New Roman"/>
          <w:sz w:val="24"/>
          <w:szCs w:val="24"/>
        </w:rPr>
        <w:t>’</w:t>
      </w:r>
      <w:r w:rsidRPr="00BD102E">
        <w:rPr>
          <w:rFonts w:ascii="Times New Roman" w:hAnsi="Times New Roman" w:cs="Times New Roman"/>
          <w:sz w:val="24"/>
          <w:szCs w:val="24"/>
        </w:rPr>
        <w:t xml:space="preserve">s investment.   </w:t>
      </w:r>
    </w:p>
    <w:p w14:paraId="55740108" w14:textId="77777777" w:rsidR="008E74CA" w:rsidRPr="00BD102E" w:rsidRDefault="008E74CA" w:rsidP="00BD102E">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t>Ability to Pay Current Liabilities</w:t>
      </w:r>
    </w:p>
    <w:p w14:paraId="5E5861CD" w14:textId="13EC0014"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ab/>
      </w:r>
      <w:r w:rsidR="00CB5B17" w:rsidRPr="00BD102E">
        <w:rPr>
          <w:rFonts w:ascii="Times New Roman" w:hAnsi="Times New Roman" w:cs="Times New Roman"/>
          <w:sz w:val="24"/>
          <w:szCs w:val="24"/>
        </w:rPr>
        <w:t>A company</w:t>
      </w:r>
      <w:r w:rsidRPr="00BD102E">
        <w:rPr>
          <w:rFonts w:ascii="Times New Roman" w:hAnsi="Times New Roman" w:cs="Times New Roman"/>
          <w:sz w:val="24"/>
          <w:szCs w:val="24"/>
        </w:rPr>
        <w:t xml:space="preserve"> rel</w:t>
      </w:r>
      <w:r w:rsidR="00CB5B17" w:rsidRPr="00BD102E">
        <w:rPr>
          <w:rFonts w:ascii="Times New Roman" w:hAnsi="Times New Roman" w:cs="Times New Roman"/>
          <w:sz w:val="24"/>
          <w:szCs w:val="24"/>
        </w:rPr>
        <w:t>ies</w:t>
      </w:r>
      <w:r w:rsidRPr="00BD102E">
        <w:rPr>
          <w:rFonts w:ascii="Times New Roman" w:hAnsi="Times New Roman" w:cs="Times New Roman"/>
          <w:sz w:val="24"/>
          <w:szCs w:val="24"/>
        </w:rPr>
        <w:t xml:space="preserve"> on debt to help finance </w:t>
      </w:r>
      <w:r w:rsidR="00CB5B17" w:rsidRPr="00BD102E">
        <w:rPr>
          <w:rFonts w:ascii="Times New Roman" w:hAnsi="Times New Roman" w:cs="Times New Roman"/>
          <w:sz w:val="24"/>
          <w:szCs w:val="24"/>
        </w:rPr>
        <w:t>its</w:t>
      </w:r>
      <w:r w:rsidRPr="00BD102E">
        <w:rPr>
          <w:rFonts w:ascii="Times New Roman" w:hAnsi="Times New Roman" w:cs="Times New Roman"/>
          <w:sz w:val="24"/>
          <w:szCs w:val="24"/>
        </w:rPr>
        <w:t xml:space="preserve"> operations. A company’s ability to pay its debts (liabilities), both short-term and long-term, is critical to its long-standing. Another critical key to such long-standing </w:t>
      </w:r>
      <w:r w:rsidR="00CB5B17" w:rsidRPr="00BD102E">
        <w:rPr>
          <w:rFonts w:ascii="Times New Roman" w:hAnsi="Times New Roman" w:cs="Times New Roman"/>
          <w:sz w:val="24"/>
          <w:szCs w:val="24"/>
        </w:rPr>
        <w:t>is</w:t>
      </w:r>
      <w:r w:rsidRPr="00BD102E">
        <w:rPr>
          <w:rFonts w:ascii="Times New Roman" w:hAnsi="Times New Roman" w:cs="Times New Roman"/>
          <w:sz w:val="24"/>
          <w:szCs w:val="24"/>
        </w:rPr>
        <w:t xml:space="preserve"> the means by which a company funds those debts. Collectively, Walgreens and CVS pharmacy™ have a long-standing of 176-years in the pharmacy business. Therefore, it is easy to assume that both companies have sustained enough cash and working capital throughout the years to have positioned themselves as the largest pharmacies in the U.S. Having </w:t>
      </w:r>
      <w:proofErr w:type="gramStart"/>
      <w:r w:rsidRPr="00BD102E">
        <w:rPr>
          <w:rFonts w:ascii="Times New Roman" w:hAnsi="Times New Roman" w:cs="Times New Roman"/>
          <w:sz w:val="24"/>
          <w:szCs w:val="24"/>
        </w:rPr>
        <w:t>sufficient</w:t>
      </w:r>
      <w:proofErr w:type="gramEnd"/>
      <w:r w:rsidRPr="00BD102E">
        <w:rPr>
          <w:rFonts w:ascii="Times New Roman" w:hAnsi="Times New Roman" w:cs="Times New Roman"/>
          <w:sz w:val="24"/>
          <w:szCs w:val="24"/>
        </w:rPr>
        <w:t xml:space="preserve"> cash to operate is very important, as a business can be profitable and still run out of working capital (</w:t>
      </w:r>
      <w:proofErr w:type="spellStart"/>
      <w:r w:rsidRPr="00BD102E">
        <w:rPr>
          <w:rFonts w:ascii="Times New Roman" w:hAnsi="Times New Roman" w:cs="Times New Roman"/>
          <w:sz w:val="24"/>
          <w:szCs w:val="24"/>
        </w:rPr>
        <w:t>Jesenik</w:t>
      </w:r>
      <w:proofErr w:type="spellEnd"/>
      <w:r w:rsidRPr="00BD102E">
        <w:rPr>
          <w:rFonts w:ascii="Times New Roman" w:hAnsi="Times New Roman" w:cs="Times New Roman"/>
          <w:sz w:val="24"/>
          <w:szCs w:val="24"/>
        </w:rPr>
        <w:t>, 2008). Equally as important is a company’s debt ratio, which reveals whether a company has more debt than assets and vice versa. As such</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 an examination of both companies’ ability to pay its current liabilities and its debt ratio will help to compare and determine which company is doing better at the present time. </w:t>
      </w:r>
    </w:p>
    <w:p w14:paraId="7FACE3C3" w14:textId="6A0076DF"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lastRenderedPageBreak/>
        <w:tab/>
        <w:t>Walgreens’ 2019 SEC Form-10K annual report filing reported that the company’s current assets are valued at $18,700</w:t>
      </w:r>
      <w:r w:rsidR="0060485D" w:rsidRPr="00BD102E">
        <w:rPr>
          <w:rFonts w:ascii="Times New Roman" w:hAnsi="Times New Roman" w:cs="Times New Roman"/>
          <w:sz w:val="24"/>
          <w:szCs w:val="24"/>
        </w:rPr>
        <w:t xml:space="preserve"> million</w:t>
      </w:r>
      <w:r w:rsidRPr="00BD102E">
        <w:rPr>
          <w:rFonts w:ascii="Times New Roman" w:hAnsi="Times New Roman" w:cs="Times New Roman"/>
          <w:sz w:val="24"/>
          <w:szCs w:val="24"/>
        </w:rPr>
        <w:t>; and its current liabilities are reported as $25,769</w:t>
      </w:r>
      <w:r w:rsidR="0060485D" w:rsidRPr="00BD102E">
        <w:rPr>
          <w:rFonts w:ascii="Times New Roman" w:hAnsi="Times New Roman" w:cs="Times New Roman"/>
          <w:sz w:val="24"/>
          <w:szCs w:val="24"/>
        </w:rPr>
        <w:t xml:space="preserve"> million</w:t>
      </w:r>
      <w:r w:rsidRPr="00BD102E">
        <w:rPr>
          <w:rFonts w:ascii="Times New Roman" w:hAnsi="Times New Roman" w:cs="Times New Roman"/>
          <w:sz w:val="24"/>
          <w:szCs w:val="24"/>
        </w:rPr>
        <w:t xml:space="preserve"> (Annual Report 2019, 2020, p. 73). To determine the company’s current ratio</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 one will divide its current assets by its current liabilities. Based on Walgreens filing</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 it has a current ratio of 0.7249</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 which is lower than the desirable level of 1.0. CVS’s 2019 SEC Form 10-K annual report filing reported that the company’s current assets are valued at $50,302</w:t>
      </w:r>
      <w:r w:rsidR="0060485D" w:rsidRPr="00BD102E">
        <w:rPr>
          <w:rFonts w:ascii="Times New Roman" w:hAnsi="Times New Roman" w:cs="Times New Roman"/>
          <w:sz w:val="24"/>
          <w:szCs w:val="24"/>
        </w:rPr>
        <w:t xml:space="preserve"> million</w:t>
      </w:r>
      <w:r w:rsidRPr="00BD102E">
        <w:rPr>
          <w:rFonts w:ascii="Times New Roman" w:hAnsi="Times New Roman" w:cs="Times New Roman"/>
          <w:sz w:val="24"/>
          <w:szCs w:val="24"/>
        </w:rPr>
        <w:t>; and its current liabilities are reported as $53,303</w:t>
      </w:r>
      <w:r w:rsidR="0060485D" w:rsidRPr="00BD102E">
        <w:rPr>
          <w:rFonts w:ascii="Times New Roman" w:hAnsi="Times New Roman" w:cs="Times New Roman"/>
          <w:sz w:val="24"/>
          <w:szCs w:val="24"/>
        </w:rPr>
        <w:t xml:space="preserve"> million</w:t>
      </w:r>
      <w:r w:rsidRPr="00BD102E">
        <w:rPr>
          <w:rFonts w:ascii="Times New Roman" w:hAnsi="Times New Roman" w:cs="Times New Roman"/>
          <w:sz w:val="24"/>
          <w:szCs w:val="24"/>
        </w:rPr>
        <w:t xml:space="preserve"> (</w:t>
      </w:r>
      <w:proofErr w:type="spellStart"/>
      <w:r w:rsidRPr="00BD102E">
        <w:rPr>
          <w:rFonts w:ascii="Times New Roman" w:hAnsi="Times New Roman" w:cs="Times New Roman"/>
          <w:sz w:val="24"/>
          <w:szCs w:val="24"/>
        </w:rPr>
        <w:t>CVSHealth</w:t>
      </w:r>
      <w:proofErr w:type="spellEnd"/>
      <w:r w:rsidRPr="00BD102E">
        <w:rPr>
          <w:rFonts w:ascii="Times New Roman" w:hAnsi="Times New Roman" w:cs="Times New Roman"/>
          <w:sz w:val="24"/>
          <w:szCs w:val="24"/>
        </w:rPr>
        <w:t xml:space="preserve"> 2019 Annual Report, 2020, p. 105). Using the same formula, CVS pharmacy™ has a current ratio of 0.9437 which is also lower than the desirable level of 1.0. While both companies have current ratios below the current average, in comparing the two, one can determine that CVS pharmacy™ is doing better than Walgreens in its ability to pay its current liabilities.</w:t>
      </w:r>
    </w:p>
    <w:p w14:paraId="26AABE6E" w14:textId="56001B03"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ab/>
        <w:t>Walgreens’ 2019 SEC Form-10K annual report filing reported that the company’s current total debts are $43,44</w:t>
      </w:r>
      <w:r w:rsidR="0060485D" w:rsidRPr="00BD102E">
        <w:rPr>
          <w:rFonts w:ascii="Times New Roman" w:hAnsi="Times New Roman" w:cs="Times New Roman"/>
          <w:sz w:val="24"/>
          <w:szCs w:val="24"/>
        </w:rPr>
        <w:t>7 million</w:t>
      </w:r>
      <w:r w:rsidRPr="00BD102E">
        <w:rPr>
          <w:rFonts w:ascii="Times New Roman" w:hAnsi="Times New Roman" w:cs="Times New Roman"/>
          <w:sz w:val="24"/>
          <w:szCs w:val="24"/>
        </w:rPr>
        <w:t>; and its total assets are reported as $24,152</w:t>
      </w:r>
      <w:r w:rsidR="00871007" w:rsidRPr="00BD102E">
        <w:rPr>
          <w:rFonts w:ascii="Times New Roman" w:hAnsi="Times New Roman" w:cs="Times New Roman"/>
          <w:sz w:val="24"/>
          <w:szCs w:val="24"/>
        </w:rPr>
        <w:t xml:space="preserve"> million</w:t>
      </w:r>
      <w:r w:rsidR="00BD4773" w:rsidRPr="00BD102E">
        <w:rPr>
          <w:rFonts w:ascii="Times New Roman" w:hAnsi="Times New Roman" w:cs="Times New Roman"/>
          <w:sz w:val="24"/>
          <w:szCs w:val="24"/>
        </w:rPr>
        <w:t xml:space="preserve"> </w:t>
      </w:r>
      <w:r w:rsidRPr="00BD102E">
        <w:rPr>
          <w:rFonts w:ascii="Times New Roman" w:hAnsi="Times New Roman" w:cs="Times New Roman"/>
          <w:sz w:val="24"/>
          <w:szCs w:val="24"/>
        </w:rPr>
        <w:t>(Annual Report 2019, 2020, p. 73). To determine the company’s debt ratio</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 one will divide its total debts by its total assets. Based on Walgreens filing it has a debt ratio of 1.8. CVS’s 2019 SEC Form 10-K annual report filing reported that the company’s total debts are valued at $158,27</w:t>
      </w:r>
      <w:r w:rsidR="00871007" w:rsidRPr="00BD102E">
        <w:rPr>
          <w:rFonts w:ascii="Times New Roman" w:hAnsi="Times New Roman" w:cs="Times New Roman"/>
          <w:sz w:val="24"/>
          <w:szCs w:val="24"/>
        </w:rPr>
        <w:t>9 million</w:t>
      </w:r>
      <w:r w:rsidRPr="00BD102E">
        <w:rPr>
          <w:rFonts w:ascii="Times New Roman" w:hAnsi="Times New Roman" w:cs="Times New Roman"/>
          <w:sz w:val="24"/>
          <w:szCs w:val="24"/>
        </w:rPr>
        <w:t>; and its total assets are reported as $222,449</w:t>
      </w:r>
      <w:r w:rsidR="00871007" w:rsidRPr="00BD102E">
        <w:rPr>
          <w:rFonts w:ascii="Times New Roman" w:hAnsi="Times New Roman" w:cs="Times New Roman"/>
          <w:sz w:val="24"/>
          <w:szCs w:val="24"/>
        </w:rPr>
        <w:t xml:space="preserve"> million</w:t>
      </w:r>
      <w:r w:rsidRPr="00BD102E">
        <w:rPr>
          <w:rFonts w:ascii="Times New Roman" w:hAnsi="Times New Roman" w:cs="Times New Roman"/>
          <w:sz w:val="24"/>
          <w:szCs w:val="24"/>
        </w:rPr>
        <w:t xml:space="preserve"> (</w:t>
      </w:r>
      <w:proofErr w:type="spellStart"/>
      <w:r w:rsidRPr="00BD102E">
        <w:rPr>
          <w:rFonts w:ascii="Times New Roman" w:hAnsi="Times New Roman" w:cs="Times New Roman"/>
          <w:sz w:val="24"/>
          <w:szCs w:val="24"/>
        </w:rPr>
        <w:t>CVSHealth</w:t>
      </w:r>
      <w:proofErr w:type="spellEnd"/>
      <w:r w:rsidRPr="00BD102E">
        <w:rPr>
          <w:rFonts w:ascii="Times New Roman" w:hAnsi="Times New Roman" w:cs="Times New Roman"/>
          <w:sz w:val="24"/>
          <w:szCs w:val="24"/>
        </w:rPr>
        <w:t xml:space="preserve"> 2019 Annual Report, 2020, p. 105). Using the same formula, CVS pharmacy™ has a debt ratio of </w:t>
      </w:r>
      <w:r w:rsidR="00CB5B17" w:rsidRPr="00BD102E">
        <w:rPr>
          <w:rFonts w:ascii="Times New Roman" w:hAnsi="Times New Roman" w:cs="Times New Roman"/>
          <w:sz w:val="24"/>
          <w:szCs w:val="24"/>
        </w:rPr>
        <w:t>0</w:t>
      </w:r>
      <w:r w:rsidRPr="00BD102E">
        <w:rPr>
          <w:rFonts w:ascii="Times New Roman" w:hAnsi="Times New Roman" w:cs="Times New Roman"/>
          <w:sz w:val="24"/>
          <w:szCs w:val="24"/>
        </w:rPr>
        <w:t>.71. Most investors look for companies to invest in that have a debt ratio between 0.3 and 0.6 (Ross, 2019), and while neither company’s debt ratio falls within those parameters</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 CVS has a more favorable debt ratio when compared to Walgreens.   </w:t>
      </w:r>
    </w:p>
    <w:p w14:paraId="7F584EE9" w14:textId="0E4C3942"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 xml:space="preserve">The </w:t>
      </w:r>
      <w:proofErr w:type="gramStart"/>
      <w:r w:rsidRPr="00BD102E">
        <w:rPr>
          <w:rFonts w:ascii="Times New Roman" w:hAnsi="Times New Roman" w:cs="Times New Roman"/>
          <w:sz w:val="24"/>
          <w:szCs w:val="24"/>
        </w:rPr>
        <w:t>general consensus</w:t>
      </w:r>
      <w:proofErr w:type="gramEnd"/>
      <w:r w:rsidRPr="00BD102E">
        <w:rPr>
          <w:rFonts w:ascii="Times New Roman" w:hAnsi="Times New Roman" w:cs="Times New Roman"/>
          <w:sz w:val="24"/>
          <w:szCs w:val="24"/>
        </w:rPr>
        <w:t xml:space="preserve"> is that a company with a current ratio of less than 1.0 may indicate insolvency</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 the inability to pay one</w:t>
      </w:r>
      <w:r w:rsidR="00CB5B17" w:rsidRPr="00BD102E">
        <w:rPr>
          <w:rFonts w:ascii="Times New Roman" w:hAnsi="Times New Roman" w:cs="Times New Roman"/>
          <w:sz w:val="24"/>
          <w:szCs w:val="24"/>
        </w:rPr>
        <w:t>’</w:t>
      </w:r>
      <w:r w:rsidRPr="00BD102E">
        <w:rPr>
          <w:rFonts w:ascii="Times New Roman" w:hAnsi="Times New Roman" w:cs="Times New Roman"/>
          <w:sz w:val="24"/>
          <w:szCs w:val="24"/>
        </w:rPr>
        <w:t xml:space="preserve">s debt. However, a company may still </w:t>
      </w:r>
      <w:proofErr w:type="gramStart"/>
      <w:r w:rsidRPr="00BD102E">
        <w:rPr>
          <w:rFonts w:ascii="Times New Roman" w:hAnsi="Times New Roman" w:cs="Times New Roman"/>
          <w:sz w:val="24"/>
          <w:szCs w:val="24"/>
        </w:rPr>
        <w:t>have the ability to</w:t>
      </w:r>
      <w:proofErr w:type="gramEnd"/>
      <w:r w:rsidRPr="00BD102E">
        <w:rPr>
          <w:rFonts w:ascii="Times New Roman" w:hAnsi="Times New Roman" w:cs="Times New Roman"/>
          <w:sz w:val="24"/>
          <w:szCs w:val="24"/>
        </w:rPr>
        <w:t xml:space="preserve"> </w:t>
      </w:r>
      <w:r w:rsidRPr="00BD102E">
        <w:rPr>
          <w:rFonts w:ascii="Times New Roman" w:hAnsi="Times New Roman" w:cs="Times New Roman"/>
          <w:sz w:val="24"/>
          <w:szCs w:val="24"/>
        </w:rPr>
        <w:lastRenderedPageBreak/>
        <w:t xml:space="preserve">meet its current obligations in spite of a less than 1.0 current ratio. Similarly, the </w:t>
      </w:r>
      <w:proofErr w:type="gramStart"/>
      <w:r w:rsidRPr="00BD102E">
        <w:rPr>
          <w:rFonts w:ascii="Times New Roman" w:hAnsi="Times New Roman" w:cs="Times New Roman"/>
          <w:sz w:val="24"/>
          <w:szCs w:val="24"/>
        </w:rPr>
        <w:t>general consensus</w:t>
      </w:r>
      <w:proofErr w:type="gramEnd"/>
      <w:r w:rsidRPr="00BD102E">
        <w:rPr>
          <w:rFonts w:ascii="Times New Roman" w:hAnsi="Times New Roman" w:cs="Times New Roman"/>
          <w:sz w:val="24"/>
          <w:szCs w:val="24"/>
        </w:rPr>
        <w:t xml:space="preserve"> regarding debt ratio is that a company with a debt ratio between 0.3 and 0.6 indicates that it has more assets than debt. It is significant to note that when comparing like entities such as Walgreens and CVS pharmacy™</w:t>
      </w:r>
      <w:r w:rsidR="008330F6" w:rsidRPr="00BD102E">
        <w:rPr>
          <w:rFonts w:ascii="Times New Roman" w:hAnsi="Times New Roman" w:cs="Times New Roman"/>
          <w:sz w:val="24"/>
          <w:szCs w:val="24"/>
        </w:rPr>
        <w:t>,</w:t>
      </w:r>
      <w:r w:rsidRPr="00BD102E">
        <w:rPr>
          <w:rFonts w:ascii="Times New Roman" w:hAnsi="Times New Roman" w:cs="Times New Roman"/>
          <w:sz w:val="24"/>
          <w:szCs w:val="24"/>
        </w:rPr>
        <w:t xml:space="preserve"> one must be cognizant of the average current ratio and debt ratio in the retail pharmacy and drug store industry. In 2019, the average current ratio in the U.S. health care industry was 1.19, and the average debt ratio was 0.64 ("Health services: Industry financial ratios benchmarking," n.d.)</w:t>
      </w:r>
      <w:r w:rsidR="008330F6" w:rsidRPr="00BD102E">
        <w:rPr>
          <w:rFonts w:ascii="Times New Roman" w:hAnsi="Times New Roman" w:cs="Times New Roman"/>
          <w:sz w:val="24"/>
          <w:szCs w:val="24"/>
        </w:rPr>
        <w:t>,</w:t>
      </w:r>
      <w:r w:rsidRPr="00BD102E">
        <w:rPr>
          <w:rFonts w:ascii="Times New Roman" w:hAnsi="Times New Roman" w:cs="Times New Roman"/>
          <w:sz w:val="24"/>
          <w:szCs w:val="24"/>
        </w:rPr>
        <w:t xml:space="preserve"> according to IFRS financial reporting and analysis software. Comparing the current ratio and debt ratio of Walgreens and CVS pharmacy™, CVS pharmacy™ is the better investment.</w:t>
      </w:r>
    </w:p>
    <w:p w14:paraId="681093B7" w14:textId="77777777" w:rsidR="008E74CA" w:rsidRPr="00BD102E" w:rsidRDefault="008E74CA" w:rsidP="00BD102E">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t>Profitability and Operating Performance</w:t>
      </w:r>
    </w:p>
    <w:p w14:paraId="5EFFC1EC" w14:textId="5D193793"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b/>
          <w:bCs/>
          <w:sz w:val="24"/>
          <w:szCs w:val="24"/>
        </w:rPr>
        <w:tab/>
      </w:r>
      <w:r w:rsidRPr="00BD102E">
        <w:rPr>
          <w:rFonts w:ascii="Times New Roman" w:hAnsi="Times New Roman" w:cs="Times New Roman"/>
          <w:sz w:val="24"/>
          <w:szCs w:val="24"/>
        </w:rPr>
        <w:t>Before investing in a company, one should examine its profitability and operating performance ratios which provide insight into how the company generates income, and how efficient a company’s management is at keeping cost low and revenue or sales high, i.e., generating profits and value for shareholders. To compare the profitability and operating performance of Walgreens and CVS pharmacy™</w:t>
      </w:r>
      <w:r w:rsidR="008330F6" w:rsidRPr="00BD102E">
        <w:rPr>
          <w:rFonts w:ascii="Times New Roman" w:hAnsi="Times New Roman" w:cs="Times New Roman"/>
          <w:sz w:val="24"/>
          <w:szCs w:val="24"/>
        </w:rPr>
        <w:t>,</w:t>
      </w:r>
      <w:r w:rsidRPr="00BD102E">
        <w:rPr>
          <w:rFonts w:ascii="Times New Roman" w:hAnsi="Times New Roman" w:cs="Times New Roman"/>
          <w:sz w:val="24"/>
          <w:szCs w:val="24"/>
        </w:rPr>
        <w:t xml:space="preserve"> one must examine the company’s Return on Assets (ROA) and Return on Equity (ROE).</w:t>
      </w:r>
    </w:p>
    <w:p w14:paraId="14BF70E6" w14:textId="20F77125"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ab/>
        <w:t xml:space="preserve">Sales are paramount in any business organization. Companies use </w:t>
      </w:r>
      <w:r w:rsidR="008330F6" w:rsidRPr="00BD102E">
        <w:rPr>
          <w:rFonts w:ascii="Times New Roman" w:hAnsi="Times New Roman" w:cs="Times New Roman"/>
          <w:sz w:val="24"/>
          <w:szCs w:val="24"/>
        </w:rPr>
        <w:t>their</w:t>
      </w:r>
      <w:r w:rsidRPr="00BD102E">
        <w:rPr>
          <w:rFonts w:ascii="Times New Roman" w:hAnsi="Times New Roman" w:cs="Times New Roman"/>
          <w:sz w:val="24"/>
          <w:szCs w:val="24"/>
        </w:rPr>
        <w:t xml:space="preserve"> fixed assets to generate sales. By examining the fixed-asset turnover ratio, one can determine how well a business generates sales using its fixed assets. A higher ratio indicates that less money is tied into fixed assets from sales revenue</w:t>
      </w:r>
      <w:r w:rsidR="00C56FB4" w:rsidRPr="00BD102E">
        <w:rPr>
          <w:rFonts w:ascii="Times New Roman" w:hAnsi="Times New Roman" w:cs="Times New Roman"/>
          <w:sz w:val="24"/>
          <w:szCs w:val="24"/>
        </w:rPr>
        <w:t>,</w:t>
      </w:r>
      <w:r w:rsidRPr="00BD102E">
        <w:rPr>
          <w:rFonts w:ascii="Times New Roman" w:hAnsi="Times New Roman" w:cs="Times New Roman"/>
          <w:sz w:val="24"/>
          <w:szCs w:val="24"/>
        </w:rPr>
        <w:t xml:space="preserve"> which is a good indication of a business’ operating performance. To calculate the fixed asset turnover, one must divide the net sales by the average net fixed assets (Boundless.com, n.d.). Beginning in 2017-2019, Walgreens had fixed-asset turnover ratios of </w:t>
      </w:r>
      <w:r w:rsidRPr="00BD102E">
        <w:rPr>
          <w:rFonts w:ascii="Times New Roman" w:hAnsi="Times New Roman" w:cs="Times New Roman"/>
          <w:sz w:val="24"/>
          <w:szCs w:val="24"/>
        </w:rPr>
        <w:lastRenderedPageBreak/>
        <w:t>1.79, 1.93, and 2.02; and CVS pharmacy™ had fixed-asset turnover ratios of 1.94, 0.99, 1.15. Walgreens indicated better operating performance due to higher fixed-turnover ratios than CVS.</w:t>
      </w:r>
    </w:p>
    <w:p w14:paraId="0F5AEC31" w14:textId="143FCB8B"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ab/>
        <w:t>Earning profits are key to a business’s success, and a company’s ability to generate profits from its assets highlights the company’s efficiency. Return on Assets (ROA) is an indicator that shows how well a company utilizes its assets. To determine ROA, one must determine a company’s net sales revenue and divide by its average total assets. This formula is used to indicate a company’s ability to generate profits from its assets. It measures the efficiency of the company’s operations in generating earnings from its assets (Boundless.com, n.d.). Beginning in 2017-2019, Walgreens had ROAs of 6.21, 7.39, and 5.86; and CVS pharmacy™ had ROAs of 6.97, -0.30, and 2.98. Based on Walgreens consistent ROA during the 2017-2019 time period, it is more efficient than CVS pharmacy™ in generating a profit from its assets, making Walgreens more profitable</w:t>
      </w:r>
      <w:r w:rsidR="00C56FB4" w:rsidRPr="00BD102E">
        <w:rPr>
          <w:rFonts w:ascii="Times New Roman" w:hAnsi="Times New Roman" w:cs="Times New Roman"/>
          <w:sz w:val="24"/>
          <w:szCs w:val="24"/>
        </w:rPr>
        <w:t>, and showing</w:t>
      </w:r>
      <w:r w:rsidRPr="00BD102E">
        <w:rPr>
          <w:rFonts w:ascii="Times New Roman" w:hAnsi="Times New Roman" w:cs="Times New Roman"/>
          <w:sz w:val="24"/>
          <w:szCs w:val="24"/>
        </w:rPr>
        <w:t xml:space="preserve"> better operating performance than CVS pharmacy™.</w:t>
      </w:r>
    </w:p>
    <w:p w14:paraId="2E23D5F7" w14:textId="3D832B53"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Without profits</w:t>
      </w:r>
      <w:r w:rsidR="00C56FB4" w:rsidRPr="00BD102E">
        <w:rPr>
          <w:rFonts w:ascii="Times New Roman" w:hAnsi="Times New Roman" w:cs="Times New Roman"/>
          <w:sz w:val="24"/>
          <w:szCs w:val="24"/>
        </w:rPr>
        <w:t>,</w:t>
      </w:r>
      <w:r w:rsidRPr="00BD102E">
        <w:rPr>
          <w:rFonts w:ascii="Times New Roman" w:hAnsi="Times New Roman" w:cs="Times New Roman"/>
          <w:sz w:val="24"/>
          <w:szCs w:val="24"/>
        </w:rPr>
        <w:t xml:space="preserve"> there are no investors</w:t>
      </w:r>
      <w:r w:rsidR="00C56FB4" w:rsidRPr="00BD102E">
        <w:rPr>
          <w:rFonts w:ascii="Times New Roman" w:hAnsi="Times New Roman" w:cs="Times New Roman"/>
          <w:sz w:val="24"/>
          <w:szCs w:val="24"/>
        </w:rPr>
        <w:t>,</w:t>
      </w:r>
      <w:r w:rsidRPr="00BD102E">
        <w:rPr>
          <w:rFonts w:ascii="Times New Roman" w:hAnsi="Times New Roman" w:cs="Times New Roman"/>
          <w:sz w:val="24"/>
          <w:szCs w:val="24"/>
        </w:rPr>
        <w:t xml:space="preserve"> and without investors</w:t>
      </w:r>
      <w:r w:rsidR="00C56FB4" w:rsidRPr="00BD102E">
        <w:rPr>
          <w:rFonts w:ascii="Times New Roman" w:hAnsi="Times New Roman" w:cs="Times New Roman"/>
          <w:sz w:val="24"/>
          <w:szCs w:val="24"/>
        </w:rPr>
        <w:t>,</w:t>
      </w:r>
      <w:r w:rsidRPr="00BD102E">
        <w:rPr>
          <w:rFonts w:ascii="Times New Roman" w:hAnsi="Times New Roman" w:cs="Times New Roman"/>
          <w:sz w:val="24"/>
          <w:szCs w:val="24"/>
        </w:rPr>
        <w:t xml:space="preserve"> businesses cease to exist. A company’s ability to generate profits from its shareholders investments in the company is called return on equity (ROE). By examining the ROE of </w:t>
      </w:r>
      <w:bookmarkStart w:id="1" w:name="_Hlk52484540"/>
      <w:r w:rsidRPr="00BD102E">
        <w:rPr>
          <w:rFonts w:ascii="Times New Roman" w:hAnsi="Times New Roman" w:cs="Times New Roman"/>
          <w:sz w:val="24"/>
          <w:szCs w:val="24"/>
        </w:rPr>
        <w:t>Walgreens and CVS pharmacy™</w:t>
      </w:r>
      <w:bookmarkEnd w:id="1"/>
      <w:r w:rsidR="00C56FB4" w:rsidRPr="00BD102E">
        <w:rPr>
          <w:rFonts w:ascii="Times New Roman" w:hAnsi="Times New Roman" w:cs="Times New Roman"/>
          <w:sz w:val="24"/>
          <w:szCs w:val="24"/>
        </w:rPr>
        <w:t>,</w:t>
      </w:r>
      <w:r w:rsidRPr="00BD102E">
        <w:rPr>
          <w:rFonts w:ascii="Times New Roman" w:hAnsi="Times New Roman" w:cs="Times New Roman"/>
          <w:sz w:val="24"/>
          <w:szCs w:val="24"/>
        </w:rPr>
        <w:t xml:space="preserve"> one can determine which company generates the most profits from its shareholders investments. ROE is calculated by subtracting preferred dividends from net earnings after taxes</w:t>
      </w:r>
      <w:r w:rsidR="00C56FB4" w:rsidRPr="00BD102E">
        <w:rPr>
          <w:rFonts w:ascii="Times New Roman" w:hAnsi="Times New Roman" w:cs="Times New Roman"/>
          <w:sz w:val="24"/>
          <w:szCs w:val="24"/>
        </w:rPr>
        <w:t>,</w:t>
      </w:r>
      <w:r w:rsidRPr="00BD102E">
        <w:rPr>
          <w:rFonts w:ascii="Times New Roman" w:hAnsi="Times New Roman" w:cs="Times New Roman"/>
          <w:sz w:val="24"/>
          <w:szCs w:val="24"/>
        </w:rPr>
        <w:t xml:space="preserve"> then dividing by common equity dollars. Beginning in 2017-2019, Walgreens had an average ROE of 13.71%, 16.89%, and 17.18% (Walgreens ROE, n.d.); and CVS pharmacy™ had an average ROE of 15.71%, 8.38%, 6.41% (CVS Health ROE, n.d.). These data show that Walgreens generated more profit than CVS due to its higher ROE between 2017-2019 time period.</w:t>
      </w:r>
    </w:p>
    <w:p w14:paraId="2FD4271E" w14:textId="02AA0B70"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lastRenderedPageBreak/>
        <w:t xml:space="preserve">After </w:t>
      </w:r>
      <w:r w:rsidR="00A950E1" w:rsidRPr="00BD102E">
        <w:rPr>
          <w:rFonts w:ascii="Times New Roman" w:hAnsi="Times New Roman" w:cs="Times New Roman"/>
          <w:sz w:val="24"/>
          <w:szCs w:val="24"/>
        </w:rPr>
        <w:t>utilizing</w:t>
      </w:r>
      <w:r w:rsidR="00C56FB4" w:rsidRPr="00BD102E">
        <w:rPr>
          <w:rFonts w:ascii="Times New Roman" w:hAnsi="Times New Roman" w:cs="Times New Roman"/>
          <w:sz w:val="24"/>
          <w:szCs w:val="24"/>
        </w:rPr>
        <w:t xml:space="preserve"> the ratios for</w:t>
      </w:r>
      <w:r w:rsidRPr="00BD102E">
        <w:rPr>
          <w:rFonts w:ascii="Times New Roman" w:hAnsi="Times New Roman" w:cs="Times New Roman"/>
          <w:sz w:val="24"/>
          <w:szCs w:val="24"/>
        </w:rPr>
        <w:t xml:space="preserve"> return on equity (ROE)</w:t>
      </w:r>
      <w:r w:rsidR="00C56FB4" w:rsidRPr="00BD102E">
        <w:rPr>
          <w:rFonts w:ascii="Times New Roman" w:hAnsi="Times New Roman" w:cs="Times New Roman"/>
          <w:sz w:val="24"/>
          <w:szCs w:val="24"/>
        </w:rPr>
        <w:t>, return on assets (ROA), and fixed-asset turnover</w:t>
      </w:r>
      <w:r w:rsidRPr="00BD102E">
        <w:rPr>
          <w:rFonts w:ascii="Times New Roman" w:hAnsi="Times New Roman" w:cs="Times New Roman"/>
          <w:sz w:val="24"/>
          <w:szCs w:val="24"/>
        </w:rPr>
        <w:t xml:space="preserve"> to compare</w:t>
      </w:r>
      <w:r w:rsidR="00A950E1" w:rsidRPr="00BD102E">
        <w:rPr>
          <w:rFonts w:ascii="Times New Roman" w:hAnsi="Times New Roman" w:cs="Times New Roman"/>
          <w:sz w:val="24"/>
          <w:szCs w:val="24"/>
        </w:rPr>
        <w:t xml:space="preserve"> the profitability and performance of</w:t>
      </w:r>
      <w:r w:rsidRPr="00BD102E">
        <w:rPr>
          <w:rFonts w:ascii="Times New Roman" w:hAnsi="Times New Roman" w:cs="Times New Roman"/>
          <w:sz w:val="24"/>
          <w:szCs w:val="24"/>
        </w:rPr>
        <w:t xml:space="preserve"> Walgreens and CVS pharmacy™</w:t>
      </w:r>
      <w:r w:rsidR="00A950E1" w:rsidRPr="00BD102E">
        <w:rPr>
          <w:rFonts w:ascii="Times New Roman" w:hAnsi="Times New Roman" w:cs="Times New Roman"/>
          <w:sz w:val="24"/>
          <w:szCs w:val="24"/>
        </w:rPr>
        <w:t>,</w:t>
      </w:r>
      <w:r w:rsidRPr="00BD102E">
        <w:rPr>
          <w:rFonts w:ascii="Times New Roman" w:hAnsi="Times New Roman" w:cs="Times New Roman"/>
          <w:sz w:val="24"/>
          <w:szCs w:val="24"/>
        </w:rPr>
        <w:t xml:space="preserve"> one can determine that Walgreens is a better investment because of its higher ROE, consistent ROA, and favorable fixed-asset turnover ratio</w:t>
      </w:r>
      <w:r w:rsidR="00A950E1" w:rsidRPr="00BD102E">
        <w:rPr>
          <w:rFonts w:ascii="Times New Roman" w:hAnsi="Times New Roman" w:cs="Times New Roman"/>
          <w:sz w:val="24"/>
          <w:szCs w:val="24"/>
        </w:rPr>
        <w:t>.</w:t>
      </w:r>
      <w:r w:rsidRPr="00BD102E">
        <w:rPr>
          <w:rFonts w:ascii="Times New Roman" w:hAnsi="Times New Roman" w:cs="Times New Roman"/>
          <w:sz w:val="24"/>
          <w:szCs w:val="24"/>
        </w:rPr>
        <w:t xml:space="preserve"> </w:t>
      </w:r>
      <w:r w:rsidR="00A950E1" w:rsidRPr="00BD102E">
        <w:rPr>
          <w:rFonts w:ascii="Times New Roman" w:hAnsi="Times New Roman" w:cs="Times New Roman"/>
          <w:sz w:val="24"/>
          <w:szCs w:val="24"/>
        </w:rPr>
        <w:t>A</w:t>
      </w:r>
      <w:r w:rsidRPr="00BD102E">
        <w:rPr>
          <w:rFonts w:ascii="Times New Roman" w:hAnsi="Times New Roman" w:cs="Times New Roman"/>
          <w:sz w:val="24"/>
          <w:szCs w:val="24"/>
        </w:rPr>
        <w:t xml:space="preserve"> point to note is that Walgreens can become more profitable by turning over its inventory quicker. </w:t>
      </w:r>
    </w:p>
    <w:p w14:paraId="1866189F" w14:textId="77777777" w:rsidR="008E74CA" w:rsidRPr="00BD102E" w:rsidRDefault="008E74CA" w:rsidP="00BD102E">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t>Cash Flow Indicator &amp; Investment Valuation Ratios</w:t>
      </w:r>
    </w:p>
    <w:p w14:paraId="1FCB47B5" w14:textId="77777777"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The shareholders in a company are</w:t>
      </w:r>
      <w:proofErr w:type="gramStart"/>
      <w:r w:rsidRPr="00BD102E">
        <w:rPr>
          <w:rFonts w:ascii="Times New Roman" w:hAnsi="Times New Roman" w:cs="Times New Roman"/>
          <w:sz w:val="24"/>
          <w:szCs w:val="24"/>
        </w:rPr>
        <w:t>, in essence, the</w:t>
      </w:r>
      <w:proofErr w:type="gramEnd"/>
      <w:r w:rsidRPr="00BD102E">
        <w:rPr>
          <w:rFonts w:ascii="Times New Roman" w:hAnsi="Times New Roman" w:cs="Times New Roman"/>
          <w:sz w:val="24"/>
          <w:szCs w:val="24"/>
        </w:rPr>
        <w:t xml:space="preserve"> owners of that company.  An investor exchanges capital for shares of a business, giving him or her equity in that business.  The shareholders have a stake in both the business’s successes and failures (Hayes, 2020), so an investor will want to closely evaluate the dividend payout ratio and the price per earnings ratio of a prospective stock investment to determine if that company’s performance is favorable for its shareholders.  </w:t>
      </w:r>
    </w:p>
    <w:p w14:paraId="548AAA38" w14:textId="77777777"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 xml:space="preserve">A dividend is a portion of a company’s profit that is separated from retained earnings and paid to shareholders (Boundless Finance, n.d.).  Some companies attract investors by paying a larger portion of profit in dividends, while others place a higher importance on allocating more profit to retained earnings in order to grow the business, and in turn raise the value of the stock for shareholders.  While keeping a larger portion for retained earnings may provide a better long-term prospect, healthy dividend payments have an important role in keeping shareholders happy in the short-term.  </w:t>
      </w:r>
    </w:p>
    <w:p w14:paraId="66B0FA69" w14:textId="77777777"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 xml:space="preserve">The dividend payout ratio can be utilized to determine how much of the earnings during a period are paid out as dividends.  This number can help assess which company is healthy enough </w:t>
      </w:r>
      <w:r w:rsidRPr="00BD102E">
        <w:rPr>
          <w:rFonts w:ascii="Times New Roman" w:hAnsi="Times New Roman" w:cs="Times New Roman"/>
          <w:sz w:val="24"/>
          <w:szCs w:val="24"/>
        </w:rPr>
        <w:lastRenderedPageBreak/>
        <w:t xml:space="preserve">to allocate a larger portion of profit back to the shareholders.  The dividend payout ratio is calculated simply by dividing dividends by net income for a determined period.  </w:t>
      </w:r>
    </w:p>
    <w:p w14:paraId="2E8386B5" w14:textId="03362A8F"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 xml:space="preserve">Analyzing the consolidated statement of shareholders’ equity from CVS’s SEC 10-k filing for 2019 will show a reported net income of $6,631 million, and common stock dividends paid in the amount of $2,615 million (SEC Form 10-K, 2020, p. 96). This produces a dividend payout ratio of 0.394, or 39.4%.  In 2019, Walgreens reported net income of $3,962 million, and dividends paid of $1,632 million (Annual Report 2019, 2020, p. 70). The resulting dividend payout ratio is slightly higher than that of CVS, at 0.412, or 41.2%.  </w:t>
      </w:r>
    </w:p>
    <w:p w14:paraId="06D38B33" w14:textId="5F820350" w:rsidR="008E74CA" w:rsidRPr="00BD102E" w:rsidRDefault="00A950E1"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T</w:t>
      </w:r>
      <w:r w:rsidR="008E74CA" w:rsidRPr="00BD102E">
        <w:rPr>
          <w:rFonts w:ascii="Times New Roman" w:hAnsi="Times New Roman" w:cs="Times New Roman"/>
          <w:sz w:val="24"/>
          <w:szCs w:val="24"/>
        </w:rPr>
        <w:t xml:space="preserve">he price </w:t>
      </w:r>
      <w:r w:rsidRPr="00BD102E">
        <w:rPr>
          <w:rFonts w:ascii="Times New Roman" w:hAnsi="Times New Roman" w:cs="Times New Roman"/>
          <w:sz w:val="24"/>
          <w:szCs w:val="24"/>
        </w:rPr>
        <w:t xml:space="preserve">to </w:t>
      </w:r>
      <w:r w:rsidR="008E74CA" w:rsidRPr="00BD102E">
        <w:rPr>
          <w:rFonts w:ascii="Times New Roman" w:hAnsi="Times New Roman" w:cs="Times New Roman"/>
          <w:sz w:val="24"/>
          <w:szCs w:val="24"/>
        </w:rPr>
        <w:t>earnings ratio is calculated by dividing the current share price of a company by the earnings per share.</w:t>
      </w:r>
      <w:r w:rsidR="00A50EA7" w:rsidRPr="00BD102E">
        <w:rPr>
          <w:rFonts w:ascii="Times New Roman" w:hAnsi="Times New Roman" w:cs="Times New Roman"/>
          <w:sz w:val="24"/>
          <w:szCs w:val="24"/>
        </w:rPr>
        <w:t xml:space="preserve"> </w:t>
      </w:r>
      <w:r w:rsidR="008E74CA" w:rsidRPr="00BD102E">
        <w:rPr>
          <w:rFonts w:ascii="Times New Roman" w:hAnsi="Times New Roman" w:cs="Times New Roman"/>
          <w:sz w:val="24"/>
          <w:szCs w:val="24"/>
        </w:rPr>
        <w:t xml:space="preserve">The resulting figure is often used to evaluate the relative value of a company (Boundless Finance, n.d.) because it shows how much each share earns relative to the cost of the stock.  When benchmarking </w:t>
      </w:r>
      <w:r w:rsidRPr="00BD102E">
        <w:rPr>
          <w:rFonts w:ascii="Times New Roman" w:hAnsi="Times New Roman" w:cs="Times New Roman"/>
          <w:sz w:val="24"/>
          <w:szCs w:val="24"/>
        </w:rPr>
        <w:t>one</w:t>
      </w:r>
      <w:r w:rsidR="008E74CA" w:rsidRPr="00BD102E">
        <w:rPr>
          <w:rFonts w:ascii="Times New Roman" w:hAnsi="Times New Roman" w:cs="Times New Roman"/>
          <w:sz w:val="24"/>
          <w:szCs w:val="24"/>
        </w:rPr>
        <w:t xml:space="preserve"> company </w:t>
      </w:r>
      <w:r w:rsidRPr="00BD102E">
        <w:rPr>
          <w:rFonts w:ascii="Times New Roman" w:hAnsi="Times New Roman" w:cs="Times New Roman"/>
          <w:sz w:val="24"/>
          <w:szCs w:val="24"/>
        </w:rPr>
        <w:t>against</w:t>
      </w:r>
      <w:r w:rsidR="008E74CA" w:rsidRPr="00BD102E">
        <w:rPr>
          <w:rFonts w:ascii="Times New Roman" w:hAnsi="Times New Roman" w:cs="Times New Roman"/>
          <w:sz w:val="24"/>
          <w:szCs w:val="24"/>
        </w:rPr>
        <w:t xml:space="preserve"> another, this ratio indicates which share is </w:t>
      </w:r>
      <w:proofErr w:type="gramStart"/>
      <w:r w:rsidR="008E74CA" w:rsidRPr="00BD102E">
        <w:rPr>
          <w:rFonts w:ascii="Times New Roman" w:hAnsi="Times New Roman" w:cs="Times New Roman"/>
          <w:sz w:val="24"/>
          <w:szCs w:val="24"/>
        </w:rPr>
        <w:t>actually more</w:t>
      </w:r>
      <w:proofErr w:type="gramEnd"/>
      <w:r w:rsidR="008E74CA" w:rsidRPr="00BD102E">
        <w:rPr>
          <w:rFonts w:ascii="Times New Roman" w:hAnsi="Times New Roman" w:cs="Times New Roman"/>
          <w:sz w:val="24"/>
          <w:szCs w:val="24"/>
        </w:rPr>
        <w:t xml:space="preserve"> expensive.  The higher the ratio, the more expensive the stock. </w:t>
      </w:r>
    </w:p>
    <w:p w14:paraId="7C8FD4E7" w14:textId="2026004B" w:rsidR="008E74CA" w:rsidRPr="00BD102E" w:rsidRDefault="008E74CA"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 xml:space="preserve">The current share price of CVS pharmacy™ is $59.57, with an earnings per share of $6.29. Walgreens has a current share price of $36.93, producing an EPS of $0.85.  The resulting price per earnings ratios for CVS pharmacy™ and Walgreens are 9.47 and 43.45, respectively.  This shows that despite the higher stock price; the cost of a share in CVS pharmacy™ produces much better results, and therefore is a less expensive investment relative to the earnings of the company.  </w:t>
      </w:r>
    </w:p>
    <w:p w14:paraId="34E796A8" w14:textId="1FBAD3C5" w:rsidR="008E74CA" w:rsidRPr="00BD102E" w:rsidRDefault="008E74CA"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ab/>
        <w:t xml:space="preserve">While Walgreens produced a slightly higher dividend payout ratio than CVS pharmacy™, the disparity between the price per earnings ratios of the two companies weighs </w:t>
      </w:r>
      <w:r w:rsidRPr="00BD102E">
        <w:rPr>
          <w:rFonts w:ascii="Times New Roman" w:hAnsi="Times New Roman" w:cs="Times New Roman"/>
          <w:sz w:val="24"/>
          <w:szCs w:val="24"/>
        </w:rPr>
        <w:lastRenderedPageBreak/>
        <w:t>much more heavily in favor of CVS pharmacy™.  When it comes to keeping shareholders happy, the ratios point towards CVS pharmacy™ as the superior company.</w:t>
      </w:r>
    </w:p>
    <w:p w14:paraId="1F0301D1" w14:textId="77777777" w:rsidR="00BD102E" w:rsidRDefault="00BD102E" w:rsidP="00BD102E">
      <w:pPr>
        <w:spacing w:line="480" w:lineRule="auto"/>
        <w:rPr>
          <w:rFonts w:ascii="Times New Roman" w:hAnsi="Times New Roman" w:cs="Times New Roman"/>
          <w:b/>
          <w:bCs/>
          <w:sz w:val="24"/>
          <w:szCs w:val="24"/>
        </w:rPr>
      </w:pPr>
    </w:p>
    <w:p w14:paraId="3802E67C" w14:textId="15209BBB" w:rsidR="00385AB8" w:rsidRDefault="00385AB8" w:rsidP="00BD102E">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t>--Section 5</w:t>
      </w:r>
      <w:r w:rsidR="00BD102E">
        <w:rPr>
          <w:rFonts w:ascii="Times New Roman" w:hAnsi="Times New Roman" w:cs="Times New Roman"/>
          <w:b/>
          <w:bCs/>
          <w:sz w:val="24"/>
          <w:szCs w:val="24"/>
        </w:rPr>
        <w:t>—</w:t>
      </w:r>
    </w:p>
    <w:p w14:paraId="57A15210" w14:textId="77777777" w:rsidR="00BD102E" w:rsidRPr="00BD102E" w:rsidRDefault="00BD102E" w:rsidP="00BD102E">
      <w:pPr>
        <w:spacing w:line="480" w:lineRule="auto"/>
        <w:rPr>
          <w:rFonts w:ascii="Times New Roman" w:hAnsi="Times New Roman" w:cs="Times New Roman"/>
          <w:b/>
          <w:bCs/>
          <w:sz w:val="24"/>
          <w:szCs w:val="24"/>
        </w:rPr>
      </w:pPr>
    </w:p>
    <w:p w14:paraId="04995D6B" w14:textId="62ECF86A" w:rsidR="00385AB8" w:rsidRPr="00BD102E" w:rsidRDefault="00385AB8" w:rsidP="00BD102E">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t>Non-Financial Criteria for Investment Options</w:t>
      </w:r>
    </w:p>
    <w:p w14:paraId="0AA18C52" w14:textId="57A8D76B" w:rsidR="00385AB8" w:rsidRPr="00BD102E" w:rsidRDefault="00385AB8"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 xml:space="preserve">There are many nonfinancial factors than can affect one’s business criteria, and the top three are management structures, diversity, and growth potential.  Investors look at these factors to ascertain what is driving the business’s success.  As the business owner, one should use these factors to gain a sense of which values are important and how one should use them to maximize the value of the business for buyers.  Financial numbers provide one with a depth of information about the success of a company as there are </w:t>
      </w:r>
      <w:r w:rsidR="00EA1E2A" w:rsidRPr="00BD102E">
        <w:rPr>
          <w:rFonts w:ascii="Times New Roman" w:hAnsi="Times New Roman" w:cs="Times New Roman"/>
          <w:sz w:val="24"/>
          <w:szCs w:val="24"/>
        </w:rPr>
        <w:t>several</w:t>
      </w:r>
      <w:r w:rsidRPr="00BD102E">
        <w:rPr>
          <w:rFonts w:ascii="Times New Roman" w:hAnsi="Times New Roman" w:cs="Times New Roman"/>
          <w:sz w:val="24"/>
          <w:szCs w:val="24"/>
        </w:rPr>
        <w:t xml:space="preserve"> vital factors unrelated to finances that should be considered.</w:t>
      </w:r>
    </w:p>
    <w:p w14:paraId="5D5AEF40" w14:textId="498B2BBD" w:rsidR="00385AB8" w:rsidRPr="00BD102E" w:rsidRDefault="00385AB8" w:rsidP="00BD102E">
      <w:pPr>
        <w:spacing w:line="480" w:lineRule="auto"/>
        <w:ind w:firstLine="720"/>
        <w:rPr>
          <w:rFonts w:ascii="Times New Roman" w:hAnsi="Times New Roman" w:cs="Times New Roman"/>
          <w:sz w:val="24"/>
          <w:szCs w:val="24"/>
        </w:rPr>
      </w:pPr>
      <w:r w:rsidRPr="00BD102E">
        <w:rPr>
          <w:rFonts w:ascii="Times New Roman" w:hAnsi="Times New Roman" w:cs="Times New Roman"/>
          <w:sz w:val="24"/>
          <w:szCs w:val="24"/>
        </w:rPr>
        <w:t>To accurately see the value of a business, one must look at years of data to examine growth trends such as whether the company has improved</w:t>
      </w:r>
      <w:r w:rsidR="00EA1E2A">
        <w:rPr>
          <w:rFonts w:ascii="Times New Roman" w:hAnsi="Times New Roman" w:cs="Times New Roman"/>
          <w:sz w:val="24"/>
          <w:szCs w:val="24"/>
        </w:rPr>
        <w:t>,</w:t>
      </w:r>
      <w:r w:rsidRPr="00BD102E">
        <w:rPr>
          <w:rFonts w:ascii="Times New Roman" w:hAnsi="Times New Roman" w:cs="Times New Roman"/>
          <w:sz w:val="24"/>
          <w:szCs w:val="24"/>
        </w:rPr>
        <w:t xml:space="preserve"> or </w:t>
      </w:r>
      <w:r w:rsidR="00EA1E2A">
        <w:rPr>
          <w:rFonts w:ascii="Times New Roman" w:hAnsi="Times New Roman" w:cs="Times New Roman"/>
          <w:sz w:val="24"/>
          <w:szCs w:val="24"/>
        </w:rPr>
        <w:t>whether</w:t>
      </w:r>
      <w:r w:rsidRPr="00BD102E">
        <w:rPr>
          <w:rFonts w:ascii="Times New Roman" w:hAnsi="Times New Roman" w:cs="Times New Roman"/>
          <w:sz w:val="24"/>
          <w:szCs w:val="24"/>
        </w:rPr>
        <w:t xml:space="preserve"> its earnings</w:t>
      </w:r>
      <w:r w:rsidR="00EA1E2A">
        <w:rPr>
          <w:rFonts w:ascii="Times New Roman" w:hAnsi="Times New Roman" w:cs="Times New Roman"/>
          <w:sz w:val="24"/>
          <w:szCs w:val="24"/>
        </w:rPr>
        <w:t xml:space="preserve"> have</w:t>
      </w:r>
      <w:r w:rsidRPr="00BD102E">
        <w:rPr>
          <w:rFonts w:ascii="Times New Roman" w:hAnsi="Times New Roman" w:cs="Times New Roman"/>
          <w:sz w:val="24"/>
          <w:szCs w:val="24"/>
        </w:rPr>
        <w:t xml:space="preserve"> stayed flat.  Another aspect that one should examine is the turnover rate within the company to determine whether the company</w:t>
      </w:r>
      <w:r w:rsidR="00EA1E2A">
        <w:rPr>
          <w:rFonts w:ascii="Times New Roman" w:hAnsi="Times New Roman" w:cs="Times New Roman"/>
          <w:sz w:val="24"/>
          <w:szCs w:val="24"/>
        </w:rPr>
        <w:t xml:space="preserve"> is</w:t>
      </w:r>
      <w:r w:rsidRPr="00BD102E">
        <w:rPr>
          <w:rFonts w:ascii="Times New Roman" w:hAnsi="Times New Roman" w:cs="Times New Roman"/>
          <w:sz w:val="24"/>
          <w:szCs w:val="24"/>
        </w:rPr>
        <w:t xml:space="preserve"> continuing to grow and develop its </w:t>
      </w:r>
      <w:r w:rsidR="00EA1E2A" w:rsidRPr="00BD102E">
        <w:rPr>
          <w:rFonts w:ascii="Times New Roman" w:hAnsi="Times New Roman" w:cs="Times New Roman"/>
          <w:sz w:val="24"/>
          <w:szCs w:val="24"/>
        </w:rPr>
        <w:t>employees</w:t>
      </w:r>
      <w:r w:rsidR="00EA1E2A">
        <w:rPr>
          <w:rFonts w:ascii="Times New Roman" w:hAnsi="Times New Roman" w:cs="Times New Roman"/>
          <w:sz w:val="24"/>
          <w:szCs w:val="24"/>
        </w:rPr>
        <w:t xml:space="preserve"> or</w:t>
      </w:r>
      <w:r w:rsidRPr="00BD102E">
        <w:rPr>
          <w:rFonts w:ascii="Times New Roman" w:hAnsi="Times New Roman" w:cs="Times New Roman"/>
          <w:sz w:val="24"/>
          <w:szCs w:val="24"/>
        </w:rPr>
        <w:t xml:space="preserve"> has the leadership of the organization “checked out” and the company is slowly deteriorating.  A strong management team will directly impact the health of a business.  An example of the benefit of a strong management team is that it makes it easier to train new upper management personnel on the inner workings of the company from day to day operations to the long-term business plan that supports the longevity and future state of the company. While financial statements can show </w:t>
      </w:r>
      <w:r w:rsidRPr="00BD102E">
        <w:rPr>
          <w:rFonts w:ascii="Times New Roman" w:hAnsi="Times New Roman" w:cs="Times New Roman"/>
          <w:sz w:val="24"/>
          <w:szCs w:val="24"/>
        </w:rPr>
        <w:lastRenderedPageBreak/>
        <w:t>a company’s growth, it does not necessarily reveal the company’s potential</w:t>
      </w:r>
      <w:r w:rsidR="00EA1E2A">
        <w:rPr>
          <w:rFonts w:ascii="Times New Roman" w:hAnsi="Times New Roman" w:cs="Times New Roman"/>
          <w:sz w:val="24"/>
          <w:szCs w:val="24"/>
        </w:rPr>
        <w:t>,</w:t>
      </w:r>
      <w:r w:rsidRPr="00BD102E">
        <w:rPr>
          <w:rFonts w:ascii="Times New Roman" w:hAnsi="Times New Roman" w:cs="Times New Roman"/>
          <w:sz w:val="24"/>
          <w:szCs w:val="24"/>
        </w:rPr>
        <w:t xml:space="preserve"> further highlighting the importance of including nonfinancial factors when evaluating a company.  Investors want to see growth strategy in a company’s business plan to include customer base expansion, markets, and new products</w:t>
      </w:r>
    </w:p>
    <w:p w14:paraId="4DC68CD9" w14:textId="2469DF9D" w:rsidR="008E74CA" w:rsidRPr="00BD102E" w:rsidRDefault="00A50EA7" w:rsidP="00BD102E">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t>Conclusion</w:t>
      </w:r>
    </w:p>
    <w:p w14:paraId="0CB46274" w14:textId="5B607D7C" w:rsidR="00A50EA7" w:rsidRPr="00BD102E" w:rsidRDefault="00A50EA7" w:rsidP="00BD102E">
      <w:pPr>
        <w:spacing w:line="480" w:lineRule="auto"/>
        <w:rPr>
          <w:rFonts w:ascii="Times New Roman" w:hAnsi="Times New Roman" w:cs="Times New Roman"/>
          <w:sz w:val="24"/>
          <w:szCs w:val="24"/>
        </w:rPr>
      </w:pPr>
      <w:r w:rsidRPr="00BD102E">
        <w:rPr>
          <w:rFonts w:ascii="Times New Roman" w:hAnsi="Times New Roman" w:cs="Times New Roman"/>
          <w:b/>
          <w:bCs/>
          <w:sz w:val="24"/>
          <w:szCs w:val="24"/>
        </w:rPr>
        <w:tab/>
      </w:r>
      <w:r w:rsidRPr="00BD102E">
        <w:rPr>
          <w:rFonts w:ascii="Times New Roman" w:hAnsi="Times New Roman" w:cs="Times New Roman"/>
          <w:sz w:val="24"/>
          <w:szCs w:val="24"/>
        </w:rPr>
        <w:t xml:space="preserve">It is evident that </w:t>
      </w:r>
      <w:r w:rsidR="007C65F2" w:rsidRPr="00BD102E">
        <w:rPr>
          <w:rFonts w:ascii="Times New Roman" w:hAnsi="Times New Roman" w:cs="Times New Roman"/>
          <w:sz w:val="24"/>
          <w:szCs w:val="24"/>
        </w:rPr>
        <w:t xml:space="preserve">there are </w:t>
      </w:r>
      <w:proofErr w:type="gramStart"/>
      <w:r w:rsidR="007C65F2" w:rsidRPr="00BD102E">
        <w:rPr>
          <w:rFonts w:ascii="Times New Roman" w:hAnsi="Times New Roman" w:cs="Times New Roman"/>
          <w:sz w:val="24"/>
          <w:szCs w:val="24"/>
        </w:rPr>
        <w:t>a number of</w:t>
      </w:r>
      <w:proofErr w:type="gramEnd"/>
      <w:r w:rsidR="007C65F2" w:rsidRPr="00BD102E">
        <w:rPr>
          <w:rFonts w:ascii="Times New Roman" w:hAnsi="Times New Roman" w:cs="Times New Roman"/>
          <w:sz w:val="24"/>
          <w:szCs w:val="24"/>
        </w:rPr>
        <w:t xml:space="preserve"> financial factors that one must consider before investing in a company. When examining like entities to </w:t>
      </w:r>
      <w:r w:rsidR="00681E07" w:rsidRPr="00BD102E">
        <w:rPr>
          <w:rFonts w:ascii="Times New Roman" w:hAnsi="Times New Roman" w:cs="Times New Roman"/>
          <w:sz w:val="24"/>
          <w:szCs w:val="24"/>
        </w:rPr>
        <w:t>determine</w:t>
      </w:r>
      <w:r w:rsidR="007C65F2" w:rsidRPr="00BD102E">
        <w:rPr>
          <w:rFonts w:ascii="Times New Roman" w:hAnsi="Times New Roman" w:cs="Times New Roman"/>
          <w:sz w:val="24"/>
          <w:szCs w:val="24"/>
        </w:rPr>
        <w:t xml:space="preserve"> which </w:t>
      </w:r>
      <w:r w:rsidR="00681E07" w:rsidRPr="00BD102E">
        <w:rPr>
          <w:rFonts w:ascii="Times New Roman" w:hAnsi="Times New Roman" w:cs="Times New Roman"/>
          <w:sz w:val="24"/>
          <w:szCs w:val="24"/>
        </w:rPr>
        <w:t>is the better investment</w:t>
      </w:r>
      <w:r w:rsidR="00385AB8" w:rsidRPr="00BD102E">
        <w:rPr>
          <w:rFonts w:ascii="Times New Roman" w:hAnsi="Times New Roman" w:cs="Times New Roman"/>
          <w:sz w:val="24"/>
          <w:szCs w:val="24"/>
        </w:rPr>
        <w:t>,</w:t>
      </w:r>
      <w:r w:rsidR="007C65F2" w:rsidRPr="00BD102E">
        <w:rPr>
          <w:rFonts w:ascii="Times New Roman" w:hAnsi="Times New Roman" w:cs="Times New Roman"/>
          <w:sz w:val="24"/>
          <w:szCs w:val="24"/>
        </w:rPr>
        <w:t xml:space="preserve"> </w:t>
      </w:r>
      <w:r w:rsidR="00DE12E6" w:rsidRPr="00BD102E">
        <w:rPr>
          <w:rFonts w:ascii="Times New Roman" w:hAnsi="Times New Roman" w:cs="Times New Roman"/>
          <w:sz w:val="24"/>
          <w:szCs w:val="24"/>
        </w:rPr>
        <w:t>one should begin by evaluating each company’s annual report</w:t>
      </w:r>
      <w:r w:rsidR="00681E07" w:rsidRPr="00BD102E">
        <w:rPr>
          <w:rFonts w:ascii="Times New Roman" w:hAnsi="Times New Roman" w:cs="Times New Roman"/>
          <w:sz w:val="24"/>
          <w:szCs w:val="24"/>
        </w:rPr>
        <w:t xml:space="preserve"> </w:t>
      </w:r>
      <w:r w:rsidR="009D6520" w:rsidRPr="00BD102E">
        <w:rPr>
          <w:rFonts w:ascii="Times New Roman" w:hAnsi="Times New Roman" w:cs="Times New Roman"/>
          <w:sz w:val="24"/>
          <w:szCs w:val="24"/>
        </w:rPr>
        <w:t xml:space="preserve">and compare its </w:t>
      </w:r>
      <w:r w:rsidR="009D6C65" w:rsidRPr="00BD102E">
        <w:rPr>
          <w:rFonts w:ascii="Times New Roman" w:hAnsi="Times New Roman" w:cs="Times New Roman"/>
          <w:sz w:val="24"/>
          <w:szCs w:val="24"/>
        </w:rPr>
        <w:t>current debt, profitability, operating and investment valuation ratios, and cash flow</w:t>
      </w:r>
      <w:r w:rsidR="00385AB8" w:rsidRPr="00BD102E">
        <w:rPr>
          <w:rFonts w:ascii="Times New Roman" w:hAnsi="Times New Roman" w:cs="Times New Roman"/>
          <w:sz w:val="24"/>
          <w:szCs w:val="24"/>
        </w:rPr>
        <w:t>.  T</w:t>
      </w:r>
      <w:r w:rsidR="009D6C65" w:rsidRPr="00BD102E">
        <w:rPr>
          <w:rFonts w:ascii="Times New Roman" w:hAnsi="Times New Roman" w:cs="Times New Roman"/>
          <w:sz w:val="24"/>
          <w:szCs w:val="24"/>
        </w:rPr>
        <w:t xml:space="preserve">hese factors </w:t>
      </w:r>
      <w:r w:rsidR="009D6520" w:rsidRPr="00BD102E">
        <w:rPr>
          <w:rFonts w:ascii="Times New Roman" w:hAnsi="Times New Roman" w:cs="Times New Roman"/>
          <w:sz w:val="24"/>
          <w:szCs w:val="24"/>
        </w:rPr>
        <w:t>will help inform an investor’s decision of which company to invest in</w:t>
      </w:r>
      <w:r w:rsidR="009D6C65" w:rsidRPr="00BD102E">
        <w:rPr>
          <w:rFonts w:ascii="Times New Roman" w:hAnsi="Times New Roman" w:cs="Times New Roman"/>
          <w:sz w:val="24"/>
          <w:szCs w:val="24"/>
        </w:rPr>
        <w:t xml:space="preserve"> that will provide the best return on investment</w:t>
      </w:r>
      <w:r w:rsidR="009D6520" w:rsidRPr="00BD102E">
        <w:rPr>
          <w:rFonts w:ascii="Times New Roman" w:hAnsi="Times New Roman" w:cs="Times New Roman"/>
          <w:sz w:val="24"/>
          <w:szCs w:val="24"/>
        </w:rPr>
        <w:t>.</w:t>
      </w:r>
      <w:r w:rsidR="009D6C65" w:rsidRPr="00BD102E">
        <w:rPr>
          <w:rFonts w:ascii="Times New Roman" w:hAnsi="Times New Roman" w:cs="Times New Roman"/>
          <w:sz w:val="24"/>
          <w:szCs w:val="24"/>
        </w:rPr>
        <w:t xml:space="preserve"> </w:t>
      </w:r>
      <w:r w:rsidR="008D77E1" w:rsidRPr="00BD102E">
        <w:rPr>
          <w:rFonts w:ascii="Times New Roman" w:hAnsi="Times New Roman" w:cs="Times New Roman"/>
          <w:sz w:val="24"/>
          <w:szCs w:val="24"/>
        </w:rPr>
        <w:t>Compan</w:t>
      </w:r>
      <w:r w:rsidR="00385AB8" w:rsidRPr="00BD102E">
        <w:rPr>
          <w:rFonts w:ascii="Times New Roman" w:hAnsi="Times New Roman" w:cs="Times New Roman"/>
          <w:sz w:val="24"/>
          <w:szCs w:val="24"/>
        </w:rPr>
        <w:t>ie</w:t>
      </w:r>
      <w:r w:rsidR="008D77E1" w:rsidRPr="00BD102E">
        <w:rPr>
          <w:rFonts w:ascii="Times New Roman" w:hAnsi="Times New Roman" w:cs="Times New Roman"/>
          <w:sz w:val="24"/>
          <w:szCs w:val="24"/>
        </w:rPr>
        <w:t>s who offer the highest potential of returns are the ones that</w:t>
      </w:r>
      <w:r w:rsidR="00385AB8" w:rsidRPr="00BD102E">
        <w:rPr>
          <w:rFonts w:ascii="Times New Roman" w:hAnsi="Times New Roman" w:cs="Times New Roman"/>
          <w:sz w:val="24"/>
          <w:szCs w:val="24"/>
        </w:rPr>
        <w:t xml:space="preserve"> are most</w:t>
      </w:r>
      <w:r w:rsidR="008D77E1" w:rsidRPr="00BD102E">
        <w:rPr>
          <w:rFonts w:ascii="Times New Roman" w:hAnsi="Times New Roman" w:cs="Times New Roman"/>
          <w:sz w:val="24"/>
          <w:szCs w:val="24"/>
        </w:rPr>
        <w:t xml:space="preserve"> desirable to investors. </w:t>
      </w:r>
      <w:r w:rsidR="00EF3907" w:rsidRPr="00BD102E">
        <w:rPr>
          <w:rFonts w:ascii="Times New Roman" w:hAnsi="Times New Roman" w:cs="Times New Roman"/>
          <w:sz w:val="24"/>
          <w:szCs w:val="24"/>
        </w:rPr>
        <w:t>The</w:t>
      </w:r>
      <w:r w:rsidR="009D6C65" w:rsidRPr="00BD102E">
        <w:rPr>
          <w:rFonts w:ascii="Times New Roman" w:hAnsi="Times New Roman" w:cs="Times New Roman"/>
          <w:sz w:val="24"/>
          <w:szCs w:val="24"/>
        </w:rPr>
        <w:t xml:space="preserve"> examination of Walgreens and CVS pharmacy™</w:t>
      </w:r>
      <w:r w:rsidR="008D77E1" w:rsidRPr="00BD102E">
        <w:rPr>
          <w:rFonts w:ascii="Times New Roman" w:hAnsi="Times New Roman" w:cs="Times New Roman"/>
          <w:sz w:val="24"/>
          <w:szCs w:val="24"/>
        </w:rPr>
        <w:t xml:space="preserve">, both financially sound companies, proved that CVS pharmacy™ is the better investment.  </w:t>
      </w:r>
    </w:p>
    <w:p w14:paraId="531D5635" w14:textId="53E73C3F" w:rsidR="0001255F" w:rsidRPr="00BD102E" w:rsidRDefault="0001255F" w:rsidP="00BD102E">
      <w:pPr>
        <w:spacing w:line="480" w:lineRule="auto"/>
        <w:rPr>
          <w:rFonts w:ascii="Times New Roman" w:hAnsi="Times New Roman" w:cs="Times New Roman"/>
          <w:sz w:val="24"/>
          <w:szCs w:val="24"/>
        </w:rPr>
      </w:pPr>
    </w:p>
    <w:p w14:paraId="68FF3059" w14:textId="20EEC304" w:rsidR="008E74CA" w:rsidRPr="00BD102E" w:rsidRDefault="008E74CA" w:rsidP="00BD102E">
      <w:pPr>
        <w:spacing w:line="480" w:lineRule="auto"/>
        <w:rPr>
          <w:rFonts w:ascii="Times New Roman" w:hAnsi="Times New Roman" w:cs="Times New Roman"/>
          <w:sz w:val="24"/>
          <w:szCs w:val="24"/>
        </w:rPr>
      </w:pPr>
    </w:p>
    <w:p w14:paraId="02BC2D86" w14:textId="507FBB3E" w:rsidR="008E74CA" w:rsidRPr="00BD102E" w:rsidRDefault="008E74CA" w:rsidP="00BD102E">
      <w:pPr>
        <w:spacing w:line="480" w:lineRule="auto"/>
        <w:rPr>
          <w:rFonts w:ascii="Times New Roman" w:hAnsi="Times New Roman" w:cs="Times New Roman"/>
          <w:sz w:val="24"/>
          <w:szCs w:val="24"/>
        </w:rPr>
      </w:pPr>
    </w:p>
    <w:p w14:paraId="4F3F19CE" w14:textId="77777777" w:rsidR="00385AB8" w:rsidRPr="00BD102E" w:rsidRDefault="00385AB8" w:rsidP="00BD102E">
      <w:pPr>
        <w:spacing w:line="480" w:lineRule="auto"/>
        <w:rPr>
          <w:rFonts w:ascii="Times New Roman" w:hAnsi="Times New Roman" w:cs="Times New Roman"/>
          <w:sz w:val="24"/>
          <w:szCs w:val="24"/>
        </w:rPr>
      </w:pPr>
    </w:p>
    <w:p w14:paraId="79DA6ABF" w14:textId="618604B6" w:rsidR="008E74CA" w:rsidRPr="00BD102E" w:rsidRDefault="008E74CA" w:rsidP="00BD102E">
      <w:pPr>
        <w:spacing w:line="480" w:lineRule="auto"/>
        <w:rPr>
          <w:rFonts w:ascii="Times New Roman" w:hAnsi="Times New Roman" w:cs="Times New Roman"/>
          <w:sz w:val="24"/>
          <w:szCs w:val="24"/>
        </w:rPr>
      </w:pPr>
    </w:p>
    <w:p w14:paraId="6D6FA32A" w14:textId="6ED3756C" w:rsidR="00E07A6D" w:rsidRPr="00BD102E" w:rsidRDefault="00E07A6D" w:rsidP="00BD102E">
      <w:pPr>
        <w:spacing w:line="480" w:lineRule="auto"/>
        <w:rPr>
          <w:rFonts w:ascii="Times New Roman" w:hAnsi="Times New Roman" w:cs="Times New Roman"/>
          <w:sz w:val="24"/>
          <w:szCs w:val="24"/>
        </w:rPr>
      </w:pPr>
    </w:p>
    <w:p w14:paraId="414C911E" w14:textId="3168007E" w:rsidR="00E07A6D" w:rsidRPr="00BD102E" w:rsidRDefault="00E07A6D" w:rsidP="00BD102E">
      <w:pPr>
        <w:spacing w:line="480" w:lineRule="auto"/>
        <w:rPr>
          <w:rFonts w:ascii="Times New Roman" w:hAnsi="Times New Roman" w:cs="Times New Roman"/>
          <w:sz w:val="24"/>
          <w:szCs w:val="24"/>
        </w:rPr>
      </w:pPr>
    </w:p>
    <w:p w14:paraId="12E8D740" w14:textId="47F43934" w:rsidR="00AB014F" w:rsidRPr="00BD102E" w:rsidRDefault="00AB014F" w:rsidP="00BD102E">
      <w:pPr>
        <w:spacing w:line="480" w:lineRule="auto"/>
        <w:rPr>
          <w:rFonts w:ascii="Times New Roman" w:hAnsi="Times New Roman" w:cs="Times New Roman"/>
          <w:sz w:val="24"/>
          <w:szCs w:val="24"/>
        </w:rPr>
      </w:pPr>
    </w:p>
    <w:p w14:paraId="7197219E" w14:textId="77777777" w:rsidR="00AB014F" w:rsidRPr="00BD102E" w:rsidRDefault="00AB014F" w:rsidP="00D8100A">
      <w:pPr>
        <w:spacing w:line="480" w:lineRule="auto"/>
        <w:rPr>
          <w:rFonts w:ascii="Times New Roman" w:hAnsi="Times New Roman" w:cs="Times New Roman"/>
          <w:b/>
          <w:bCs/>
          <w:sz w:val="24"/>
          <w:szCs w:val="24"/>
        </w:rPr>
      </w:pPr>
      <w:r w:rsidRPr="00BD102E">
        <w:rPr>
          <w:rFonts w:ascii="Times New Roman" w:hAnsi="Times New Roman" w:cs="Times New Roman"/>
          <w:b/>
          <w:bCs/>
          <w:sz w:val="24"/>
          <w:szCs w:val="24"/>
        </w:rPr>
        <w:lastRenderedPageBreak/>
        <w:t>REFERENCES</w:t>
      </w:r>
    </w:p>
    <w:p w14:paraId="4DF19C70" w14:textId="77777777" w:rsidR="00AB014F" w:rsidRPr="00BD102E" w:rsidRDefault="00AB014F" w:rsidP="00BD102E">
      <w:pPr>
        <w:pStyle w:val="NormalWeb"/>
        <w:spacing w:before="0" w:beforeAutospacing="0" w:after="0" w:afterAutospacing="0" w:line="480" w:lineRule="auto"/>
        <w:rPr>
          <w:rStyle w:val="Emphasis"/>
          <w:i w:val="0"/>
          <w:iCs w:val="0"/>
        </w:rPr>
      </w:pPr>
      <w:r w:rsidRPr="00BD102E">
        <w:rPr>
          <w:rStyle w:val="Emphasis"/>
          <w:i w:val="0"/>
          <w:iCs w:val="0"/>
        </w:rPr>
        <w:t>Annual Report 2019. (2020). Walgreens Boots Alliance.</w:t>
      </w:r>
    </w:p>
    <w:p w14:paraId="5476C431" w14:textId="7445DAE2" w:rsidR="00AB014F" w:rsidRPr="00BD102E" w:rsidRDefault="00AB014F" w:rsidP="00BD102E">
      <w:pPr>
        <w:pStyle w:val="NormalWeb"/>
        <w:spacing w:before="0" w:beforeAutospacing="0" w:after="0" w:afterAutospacing="0" w:line="480" w:lineRule="auto"/>
        <w:ind w:left="720"/>
        <w:rPr>
          <w:i/>
          <w:iCs/>
        </w:rPr>
      </w:pPr>
      <w:hyperlink r:id="rId5" w:history="1">
        <w:r w:rsidRPr="00BD102E">
          <w:rPr>
            <w:rStyle w:val="Hyperlink"/>
          </w:rPr>
          <w:t>https://www.annualreports.com/HostedData/AnnualReports/PDF/NASDAQ_WBA_2019.pdf</w:t>
        </w:r>
      </w:hyperlink>
      <w:r w:rsidRPr="00BD102E">
        <w:rPr>
          <w:rStyle w:val="Emphasis"/>
        </w:rPr>
        <w:t xml:space="preserve"> </w:t>
      </w:r>
    </w:p>
    <w:p w14:paraId="6B517E10" w14:textId="77777777" w:rsidR="00AB014F" w:rsidRPr="00BD102E" w:rsidRDefault="00AB014F" w:rsidP="00BD102E">
      <w:pPr>
        <w:pStyle w:val="NormalWeb"/>
        <w:spacing w:before="0" w:beforeAutospacing="0" w:after="0" w:afterAutospacing="0" w:line="480" w:lineRule="auto"/>
      </w:pPr>
      <w:r w:rsidRPr="00BD102E">
        <w:t>Boundless Finance</w:t>
      </w:r>
      <w:r w:rsidRPr="00BD102E">
        <w:rPr>
          <w:i/>
          <w:iCs/>
        </w:rPr>
        <w:t>.</w:t>
      </w:r>
      <w:r w:rsidRPr="00BD102E">
        <w:t xml:space="preserve"> (n.d.)</w:t>
      </w:r>
    </w:p>
    <w:p w14:paraId="27CE46FF" w14:textId="5EF88DC1" w:rsidR="00AB014F" w:rsidRPr="00BD102E" w:rsidRDefault="00AB014F" w:rsidP="00BD102E">
      <w:pPr>
        <w:pStyle w:val="NormalWeb"/>
        <w:spacing w:before="0" w:beforeAutospacing="0" w:after="0" w:afterAutospacing="0" w:line="480" w:lineRule="auto"/>
        <w:ind w:left="720"/>
      </w:pPr>
      <w:hyperlink r:id="rId6" w:history="1">
        <w:r w:rsidRPr="00BD102E">
          <w:rPr>
            <w:rStyle w:val="Hyperlink"/>
          </w:rPr>
          <w:t>https://oer2go.org/mods/en-boundless/www.boundless.com/finance/textbooks/boundless-finance-textbook/analyzing-financial-statements-3/the-dupont-equation-roe-roa-and-growth-44/dividend-payments-and-earnings-retention-223-3901/index.html</w:t>
        </w:r>
      </w:hyperlink>
    </w:p>
    <w:p w14:paraId="2F8679E8" w14:textId="77777777" w:rsidR="00AB014F" w:rsidRPr="00BD102E" w:rsidRDefault="00AB014F" w:rsidP="00BD102E">
      <w:pPr>
        <w:spacing w:after="0" w:line="480" w:lineRule="auto"/>
        <w:rPr>
          <w:rFonts w:ascii="Times New Roman" w:eastAsiaTheme="minorEastAsia" w:hAnsi="Times New Roman" w:cs="Times New Roman"/>
          <w:sz w:val="24"/>
          <w:szCs w:val="24"/>
        </w:rPr>
      </w:pPr>
      <w:r w:rsidRPr="00BD102E">
        <w:rPr>
          <w:rFonts w:ascii="Times New Roman" w:eastAsiaTheme="minorEastAsia" w:hAnsi="Times New Roman" w:cs="Times New Roman"/>
          <w:sz w:val="24"/>
          <w:szCs w:val="24"/>
        </w:rPr>
        <w:t xml:space="preserve">Company information, facts &amp; figures. (n.d.). CVS Health. </w:t>
      </w:r>
    </w:p>
    <w:p w14:paraId="6A0CB155" w14:textId="1DB5B54A" w:rsidR="00AB014F" w:rsidRPr="00BD102E" w:rsidRDefault="00AB014F" w:rsidP="00BD102E">
      <w:pPr>
        <w:spacing w:after="0" w:line="480" w:lineRule="auto"/>
        <w:ind w:firstLine="720"/>
        <w:rPr>
          <w:rFonts w:ascii="Times New Roman" w:hAnsi="Times New Roman" w:cs="Times New Roman"/>
          <w:sz w:val="24"/>
          <w:szCs w:val="24"/>
        </w:rPr>
      </w:pPr>
      <w:hyperlink r:id="rId7" w:history="1">
        <w:r w:rsidRPr="00BD102E">
          <w:rPr>
            <w:rStyle w:val="Hyperlink"/>
            <w:rFonts w:ascii="Times New Roman" w:eastAsiaTheme="minorEastAsia" w:hAnsi="Times New Roman" w:cs="Times New Roman"/>
            <w:sz w:val="24"/>
            <w:szCs w:val="24"/>
          </w:rPr>
          <w:t>https://cvshealth.com/about/facts-    and-company-information</w:t>
        </w:r>
      </w:hyperlink>
    </w:p>
    <w:p w14:paraId="03FBE79E" w14:textId="77777777" w:rsidR="00AB014F" w:rsidRPr="00BD102E" w:rsidRDefault="00AB014F" w:rsidP="00BD102E">
      <w:pPr>
        <w:pStyle w:val="NormalWeb"/>
        <w:spacing w:before="0" w:beforeAutospacing="0" w:after="0" w:afterAutospacing="0" w:line="480" w:lineRule="auto"/>
        <w:ind w:left="720" w:hanging="720"/>
      </w:pPr>
      <w:proofErr w:type="spellStart"/>
      <w:r w:rsidRPr="00BD102E">
        <w:rPr>
          <w:rStyle w:val="Emphasis"/>
          <w:i w:val="0"/>
          <w:iCs w:val="0"/>
        </w:rPr>
        <w:t>CVSHealth</w:t>
      </w:r>
      <w:proofErr w:type="spellEnd"/>
      <w:r w:rsidRPr="00BD102E">
        <w:rPr>
          <w:rStyle w:val="Emphasis"/>
          <w:i w:val="0"/>
          <w:iCs w:val="0"/>
        </w:rPr>
        <w:t xml:space="preserve"> 2019 Annual Report</w:t>
      </w:r>
      <w:r w:rsidRPr="00BD102E">
        <w:rPr>
          <w:i/>
          <w:iCs/>
        </w:rPr>
        <w:t xml:space="preserve">. </w:t>
      </w:r>
      <w:r w:rsidRPr="00BD102E">
        <w:t xml:space="preserve">(2020). </w:t>
      </w:r>
      <w:proofErr w:type="spellStart"/>
      <w:r w:rsidRPr="00BD102E">
        <w:t>CVSHealth</w:t>
      </w:r>
      <w:proofErr w:type="spellEnd"/>
      <w:r w:rsidRPr="00BD102E">
        <w:t xml:space="preserve">. </w:t>
      </w:r>
      <w:hyperlink r:id="rId8" w:history="1">
        <w:r w:rsidRPr="00BD102E">
          <w:rPr>
            <w:rStyle w:val="Hyperlink"/>
          </w:rPr>
          <w:t>https://www.annualreports.com/HostedData/AnnualReports/PDF/NYSE_CVS_2019.pdf</w:t>
        </w:r>
      </w:hyperlink>
    </w:p>
    <w:p w14:paraId="71F154CA"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CVS Health Financial Ratios for Analysis 2005-2020: CVS. Macrotrends. </w:t>
      </w:r>
      <w:hyperlink r:id="rId9" w:history="1">
        <w:r w:rsidRPr="00BD102E">
          <w:rPr>
            <w:rStyle w:val="Hyperlink"/>
            <w:rFonts w:ascii="Times New Roman" w:eastAsia="Times New Roman" w:hAnsi="Times New Roman" w:cs="Times New Roman"/>
            <w:sz w:val="24"/>
            <w:szCs w:val="24"/>
          </w:rPr>
          <w:t>https://www.macrotrends.net/stocks/charts/CVS/cvs-health/financial-ratios</w:t>
        </w:r>
      </w:hyperlink>
      <w:r w:rsidRPr="00BD102E">
        <w:rPr>
          <w:rFonts w:ascii="Times New Roman" w:eastAsia="Times New Roman" w:hAnsi="Times New Roman" w:cs="Times New Roman"/>
          <w:sz w:val="24"/>
          <w:szCs w:val="24"/>
        </w:rPr>
        <w:t>.</w:t>
      </w:r>
    </w:p>
    <w:p w14:paraId="524EB2A8"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CVS Health ROE 2006-2020: CVS. Macrotrends. </w:t>
      </w:r>
      <w:hyperlink r:id="rId10" w:history="1">
        <w:r w:rsidRPr="00BD102E">
          <w:rPr>
            <w:rStyle w:val="Hyperlink"/>
            <w:rFonts w:ascii="Times New Roman" w:eastAsia="Times New Roman" w:hAnsi="Times New Roman" w:cs="Times New Roman"/>
            <w:sz w:val="24"/>
            <w:szCs w:val="24"/>
          </w:rPr>
          <w:t>https://www.macrotrends.net/stocks/charts/cvs/cvs-health/roe</w:t>
        </w:r>
      </w:hyperlink>
      <w:r w:rsidRPr="00BD102E">
        <w:rPr>
          <w:rFonts w:ascii="Times New Roman" w:eastAsia="Times New Roman" w:hAnsi="Times New Roman" w:cs="Times New Roman"/>
          <w:sz w:val="24"/>
          <w:szCs w:val="24"/>
        </w:rPr>
        <w:t xml:space="preserve">. </w:t>
      </w:r>
    </w:p>
    <w:p w14:paraId="3028B8D0"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Fixed Assets Turnover Ratio. </w:t>
      </w:r>
      <w:hyperlink r:id="rId11" w:history="1">
        <w:r w:rsidRPr="00BD102E">
          <w:rPr>
            <w:rStyle w:val="Hyperlink"/>
            <w:rFonts w:ascii="Times New Roman" w:eastAsia="Times New Roman" w:hAnsi="Times New Roman" w:cs="Times New Roman"/>
            <w:sz w:val="24"/>
            <w:szCs w:val="24"/>
          </w:rPr>
          <w:t>http://oer2go.org/mods/en-boundless-static/www.boundless.com/finance/textbooks/boundless-finance-textbook/analyzing-financial-statements-3/asset-management-ratios-40/fixed-assets-turnover-ratio-212-7973/index.html</w:t>
        </w:r>
      </w:hyperlink>
      <w:r w:rsidRPr="00BD102E">
        <w:rPr>
          <w:rFonts w:ascii="Times New Roman" w:eastAsia="Times New Roman" w:hAnsi="Times New Roman" w:cs="Times New Roman"/>
          <w:sz w:val="24"/>
          <w:szCs w:val="24"/>
        </w:rPr>
        <w:t xml:space="preserve">. </w:t>
      </w:r>
    </w:p>
    <w:p w14:paraId="2546DEFA"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lastRenderedPageBreak/>
        <w:t xml:space="preserve">Hayes, A. (2020, August 28). Shareholder Definition. Retrieved October 04, 2020, from </w:t>
      </w:r>
      <w:hyperlink r:id="rId12" w:history="1">
        <w:r w:rsidRPr="00BD102E">
          <w:rPr>
            <w:rStyle w:val="Hyperlink"/>
            <w:rFonts w:ascii="Times New Roman" w:eastAsia="Times New Roman" w:hAnsi="Times New Roman" w:cs="Times New Roman"/>
            <w:sz w:val="24"/>
            <w:szCs w:val="24"/>
          </w:rPr>
          <w:t>https://www.investopedia.com/terms/s/shareholder.asp</w:t>
        </w:r>
      </w:hyperlink>
    </w:p>
    <w:p w14:paraId="2A8D1D73" w14:textId="045721BB" w:rsidR="00AB014F" w:rsidRPr="00BD102E" w:rsidRDefault="00AB014F" w:rsidP="00BD102E">
      <w:pPr>
        <w:pStyle w:val="NormalWeb"/>
        <w:spacing w:before="0" w:beforeAutospacing="0" w:after="0" w:afterAutospacing="0" w:line="480" w:lineRule="auto"/>
        <w:ind w:left="720" w:hanging="720"/>
      </w:pPr>
      <w:r w:rsidRPr="00BD102E">
        <w:rPr>
          <w:rStyle w:val="Emphasis"/>
          <w:i w:val="0"/>
          <w:iCs w:val="0"/>
        </w:rPr>
        <w:t>Health services: Industry financial ratios benchmarking</w:t>
      </w:r>
      <w:r w:rsidRPr="00BD102E">
        <w:t xml:space="preserve">. (n.d.). Financial Analysis Software | Financial Analysis | Financial Statements | Current Ratio | Financial Ratio | ReadyRatios.com. </w:t>
      </w:r>
      <w:hyperlink r:id="rId13" w:history="1">
        <w:r w:rsidRPr="00BD102E">
          <w:rPr>
            <w:rStyle w:val="Hyperlink"/>
          </w:rPr>
          <w:t>https://www.readyratios.com/sec/industry/80/</w:t>
        </w:r>
      </w:hyperlink>
    </w:p>
    <w:p w14:paraId="02AF9AE0" w14:textId="77777777" w:rsidR="00AB014F" w:rsidRPr="00BD102E" w:rsidRDefault="00AB014F" w:rsidP="00BD102E">
      <w:pPr>
        <w:pStyle w:val="NormalWeb"/>
        <w:spacing w:before="0" w:beforeAutospacing="0" w:after="0" w:afterAutospacing="0" w:line="480" w:lineRule="auto"/>
        <w:ind w:left="720" w:hanging="720"/>
      </w:pPr>
      <w:proofErr w:type="spellStart"/>
      <w:r w:rsidRPr="00BD102E">
        <w:t>Jesenik</w:t>
      </w:r>
      <w:proofErr w:type="spellEnd"/>
      <w:r w:rsidRPr="00BD102E">
        <w:t>, B. (2008). Commentary: Profit not enough to stay solvent.</w:t>
      </w:r>
      <w:r w:rsidRPr="00BD102E">
        <w:rPr>
          <w:i/>
          <w:iCs/>
        </w:rPr>
        <w:t> </w:t>
      </w:r>
      <w:r w:rsidRPr="00BD102E">
        <w:t>Daily Journal of commerce</w:t>
      </w:r>
      <w:r w:rsidRPr="00BD102E">
        <w:rPr>
          <w:i/>
          <w:iCs/>
        </w:rPr>
        <w:t>, </w:t>
      </w:r>
      <w:r w:rsidRPr="00BD102E">
        <w:t xml:space="preserve">1. Retrieved from </w:t>
      </w:r>
      <w:hyperlink r:id="rId14" w:history="1">
        <w:r w:rsidRPr="00BD102E">
          <w:rPr>
            <w:rStyle w:val="Hyperlink"/>
          </w:rPr>
          <w:t>http://ezproxy.umgc.edu/login?url=https://www-proquest-com.ezproxy.umgc.edu/docview/219245984?accountid=14580</w:t>
        </w:r>
      </w:hyperlink>
    </w:p>
    <w:p w14:paraId="25D52B8A"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Journal, W. S. CVS | CVS Health Corp. Annual Balance Sheet - WSJ. The Wall Street Journal. </w:t>
      </w:r>
      <w:hyperlink r:id="rId15" w:history="1">
        <w:r w:rsidRPr="00BD102E">
          <w:rPr>
            <w:rStyle w:val="Hyperlink"/>
            <w:rFonts w:ascii="Times New Roman" w:eastAsia="Times New Roman" w:hAnsi="Times New Roman" w:cs="Times New Roman"/>
            <w:sz w:val="24"/>
            <w:szCs w:val="24"/>
          </w:rPr>
          <w:t>https://www.wsj.com/market-data/quotes/CVS/financials/annual/balance-sheet</w:t>
        </w:r>
      </w:hyperlink>
      <w:r w:rsidRPr="00BD102E">
        <w:rPr>
          <w:rFonts w:ascii="Times New Roman" w:eastAsia="Times New Roman" w:hAnsi="Times New Roman" w:cs="Times New Roman"/>
          <w:sz w:val="24"/>
          <w:szCs w:val="24"/>
        </w:rPr>
        <w:t>.</w:t>
      </w:r>
    </w:p>
    <w:p w14:paraId="7DF40E65"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Journal, W. S. </w:t>
      </w:r>
      <w:r w:rsidRPr="00BD102E">
        <w:rPr>
          <w:rFonts w:ascii="Times New Roman" w:eastAsia="Times New Roman" w:hAnsi="Times New Roman" w:cs="Times New Roman"/>
          <w:i/>
          <w:iCs/>
          <w:sz w:val="24"/>
          <w:szCs w:val="24"/>
        </w:rPr>
        <w:t>WBA | Walgreens Boots Alliance Inc. Annual Balance Sheet - WSJ</w:t>
      </w:r>
      <w:r w:rsidRPr="00BD102E">
        <w:rPr>
          <w:rFonts w:ascii="Times New Roman" w:eastAsia="Times New Roman" w:hAnsi="Times New Roman" w:cs="Times New Roman"/>
          <w:sz w:val="24"/>
          <w:szCs w:val="24"/>
        </w:rPr>
        <w:t xml:space="preserve">. The Wall Street Journal. </w:t>
      </w:r>
      <w:hyperlink r:id="rId16" w:history="1">
        <w:r w:rsidRPr="00BD102E">
          <w:rPr>
            <w:rStyle w:val="Hyperlink"/>
            <w:rFonts w:ascii="Times New Roman" w:eastAsia="Times New Roman" w:hAnsi="Times New Roman" w:cs="Times New Roman"/>
            <w:sz w:val="24"/>
            <w:szCs w:val="24"/>
          </w:rPr>
          <w:t>https://www.wsj.com/market-data/quotes/WBA/financials/annual/balance-sheet</w:t>
        </w:r>
      </w:hyperlink>
      <w:r w:rsidRPr="00BD102E">
        <w:rPr>
          <w:rFonts w:ascii="Times New Roman" w:eastAsia="Times New Roman" w:hAnsi="Times New Roman" w:cs="Times New Roman"/>
          <w:sz w:val="24"/>
          <w:szCs w:val="24"/>
        </w:rPr>
        <w:t xml:space="preserve">. </w:t>
      </w:r>
    </w:p>
    <w:p w14:paraId="13CA00A0" w14:textId="77777777" w:rsid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Lammers, T. (2019, September 18). Non-Financial Factors That Impact a Business's Value. Retrieved October 04, 2020, from </w:t>
      </w:r>
      <w:hyperlink r:id="rId17" w:history="1">
        <w:r w:rsidRPr="00BD102E">
          <w:rPr>
            <w:rStyle w:val="Hyperlink"/>
            <w:rFonts w:ascii="Times New Roman" w:eastAsia="Times New Roman" w:hAnsi="Times New Roman" w:cs="Times New Roman"/>
            <w:sz w:val="24"/>
            <w:szCs w:val="24"/>
          </w:rPr>
          <w:t>https://www.business.com/articles/value-of-your-business/</w:t>
        </w:r>
      </w:hyperlink>
    </w:p>
    <w:p w14:paraId="5A4CA042" w14:textId="7390C45C"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proofErr w:type="spellStart"/>
      <w:r w:rsidRPr="00BD102E">
        <w:rPr>
          <w:rFonts w:ascii="Times New Roman" w:eastAsiaTheme="minorEastAsia" w:hAnsi="Times New Roman" w:cs="Times New Roman"/>
          <w:sz w:val="24"/>
          <w:szCs w:val="24"/>
        </w:rPr>
        <w:t>Mikulic</w:t>
      </w:r>
      <w:proofErr w:type="spellEnd"/>
      <w:r w:rsidRPr="00BD102E">
        <w:rPr>
          <w:rFonts w:ascii="Times New Roman" w:eastAsiaTheme="minorEastAsia" w:hAnsi="Times New Roman" w:cs="Times New Roman"/>
          <w:sz w:val="24"/>
          <w:szCs w:val="24"/>
        </w:rPr>
        <w:t xml:space="preserve">, M. (2020, March 10). </w:t>
      </w:r>
      <w:r w:rsidRPr="00BD102E">
        <w:rPr>
          <w:rFonts w:ascii="Times New Roman" w:eastAsiaTheme="minorEastAsia" w:hAnsi="Times New Roman" w:cs="Times New Roman"/>
          <w:i/>
          <w:iCs/>
          <w:sz w:val="24"/>
          <w:szCs w:val="24"/>
        </w:rPr>
        <w:t>Largest U.S. pharmacy by prescription revenue share</w:t>
      </w:r>
      <w:r w:rsidRPr="00BD102E">
        <w:rPr>
          <w:rFonts w:ascii="Times New Roman" w:eastAsiaTheme="minorEastAsia" w:hAnsi="Times New Roman" w:cs="Times New Roman"/>
          <w:sz w:val="24"/>
          <w:szCs w:val="24"/>
        </w:rPr>
        <w:t xml:space="preserve">. Statista. </w:t>
      </w:r>
      <w:hyperlink r:id="rId18" w:history="1">
        <w:r w:rsidRPr="00BD102E">
          <w:rPr>
            <w:rStyle w:val="Hyperlink"/>
            <w:rFonts w:ascii="Times New Roman" w:eastAsiaTheme="minorEastAsia" w:hAnsi="Times New Roman" w:cs="Times New Roman"/>
            <w:color w:val="0000FF"/>
            <w:sz w:val="24"/>
            <w:szCs w:val="24"/>
          </w:rPr>
          <w:t>https://www.statista.com/statistics/734171/pharmacies-ranked-by-rx-market-share-in-us/</w:t>
        </w:r>
      </w:hyperlink>
    </w:p>
    <w:p w14:paraId="48ACF618" w14:textId="77777777" w:rsidR="00AB014F" w:rsidRPr="00BD102E" w:rsidRDefault="00AB014F" w:rsidP="00BD102E">
      <w:pPr>
        <w:spacing w:after="0" w:line="480" w:lineRule="auto"/>
        <w:ind w:left="720" w:hanging="720"/>
        <w:rPr>
          <w:rFonts w:ascii="Times New Roman" w:hAnsi="Times New Roman" w:cs="Times New Roman"/>
          <w:sz w:val="24"/>
          <w:szCs w:val="24"/>
        </w:rPr>
      </w:pPr>
      <w:r w:rsidRPr="00BD102E">
        <w:rPr>
          <w:rFonts w:ascii="Times New Roman" w:eastAsiaTheme="minorEastAsia" w:hAnsi="Times New Roman" w:cs="Times New Roman"/>
          <w:sz w:val="24"/>
          <w:szCs w:val="24"/>
        </w:rPr>
        <w:t xml:space="preserve">Newsroom. (n.d.). Newsroom | Walgreens newsroom. </w:t>
      </w:r>
      <w:hyperlink r:id="rId19" w:history="1">
        <w:r w:rsidRPr="00BD102E">
          <w:rPr>
            <w:rStyle w:val="Hyperlink"/>
            <w:rFonts w:ascii="Times New Roman" w:eastAsiaTheme="minorEastAsia" w:hAnsi="Times New Roman" w:cs="Times New Roman"/>
            <w:color w:val="0000FF"/>
            <w:sz w:val="24"/>
            <w:szCs w:val="24"/>
          </w:rPr>
          <w:t>https://news.walgreens.com/fact-sheets/frequently-asked-questions.htm</w:t>
        </w:r>
      </w:hyperlink>
    </w:p>
    <w:p w14:paraId="1AB15A62" w14:textId="3513F8E8" w:rsidR="00AB014F" w:rsidRPr="00BD102E" w:rsidRDefault="00AB014F" w:rsidP="00BD102E">
      <w:pPr>
        <w:spacing w:after="0" w:line="480" w:lineRule="auto"/>
        <w:ind w:left="720" w:hanging="720"/>
        <w:rPr>
          <w:rFonts w:ascii="Times New Roman" w:eastAsiaTheme="minorEastAsia" w:hAnsi="Times New Roman" w:cs="Times New Roman"/>
          <w:sz w:val="24"/>
          <w:szCs w:val="24"/>
        </w:rPr>
      </w:pPr>
      <w:r w:rsidRPr="00BD102E">
        <w:rPr>
          <w:rFonts w:ascii="Times New Roman" w:eastAsiaTheme="minorEastAsia" w:hAnsi="Times New Roman" w:cs="Times New Roman"/>
          <w:sz w:val="24"/>
          <w:szCs w:val="24"/>
        </w:rPr>
        <w:lastRenderedPageBreak/>
        <w:t xml:space="preserve">Ross, S. (2019, August 5). </w:t>
      </w:r>
      <w:r w:rsidRPr="00BD102E">
        <w:rPr>
          <w:rFonts w:ascii="Times New Roman" w:eastAsiaTheme="minorEastAsia" w:hAnsi="Times New Roman" w:cs="Times New Roman"/>
          <w:i/>
          <w:iCs/>
          <w:sz w:val="24"/>
          <w:szCs w:val="24"/>
        </w:rPr>
        <w:t>What is a good debt ratio?</w:t>
      </w:r>
      <w:r w:rsidRPr="00BD102E">
        <w:rPr>
          <w:rFonts w:ascii="Times New Roman" w:eastAsiaTheme="minorEastAsia" w:hAnsi="Times New Roman" w:cs="Times New Roman"/>
          <w:sz w:val="24"/>
          <w:szCs w:val="24"/>
        </w:rPr>
        <w:t xml:space="preserve"> Investopedia. </w:t>
      </w:r>
      <w:hyperlink r:id="rId20" w:history="1">
        <w:r w:rsidRPr="00BD102E">
          <w:rPr>
            <w:rStyle w:val="Hyperlink"/>
            <w:rFonts w:ascii="Times New Roman" w:eastAsiaTheme="minorEastAsia" w:hAnsi="Times New Roman" w:cs="Times New Roman"/>
            <w:sz w:val="24"/>
            <w:szCs w:val="24"/>
          </w:rPr>
          <w:t>https://www.investopedia.com/ask/answers/021215/what-good-debt-ratio-and-what-bad-debt-ratio.asp</w:t>
        </w:r>
      </w:hyperlink>
    </w:p>
    <w:p w14:paraId="20E510E2" w14:textId="77777777" w:rsidR="00AB014F" w:rsidRPr="00BD102E" w:rsidRDefault="00AB014F"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 xml:space="preserve">SEC Form 10-k. (2020).  CVS Health Corporation. </w:t>
      </w:r>
    </w:p>
    <w:p w14:paraId="650D324C" w14:textId="0B3CC310" w:rsidR="00BD102E" w:rsidRPr="00BD102E" w:rsidRDefault="00AB014F" w:rsidP="00BD102E">
      <w:pPr>
        <w:spacing w:line="480" w:lineRule="auto"/>
        <w:ind w:left="720"/>
        <w:rPr>
          <w:rFonts w:ascii="Times New Roman" w:hAnsi="Times New Roman" w:cs="Times New Roman"/>
          <w:sz w:val="24"/>
          <w:szCs w:val="24"/>
        </w:rPr>
      </w:pPr>
      <w:hyperlink r:id="rId21" w:anchor="sC58EA9D8B86E51FAA2B1748EC7F1FB61" w:history="1">
        <w:r w:rsidRPr="00BD102E">
          <w:rPr>
            <w:rStyle w:val="Hyperlink"/>
            <w:rFonts w:ascii="Times New Roman" w:hAnsi="Times New Roman" w:cs="Times New Roman"/>
            <w:sz w:val="24"/>
            <w:szCs w:val="24"/>
          </w:rPr>
          <w:t>https://www.sec.gov/ix?doc=/Archives/edgar/data/64803/000006480320000007/a2019form10-k.htm#sC58EA9D8B86E51FAA2B1748EC7F1FB61</w:t>
        </w:r>
      </w:hyperlink>
    </w:p>
    <w:p w14:paraId="211A5BB4" w14:textId="77777777" w:rsidR="00BD102E" w:rsidRDefault="00AB014F" w:rsidP="00BD102E">
      <w:pPr>
        <w:spacing w:after="0" w:line="480" w:lineRule="auto"/>
        <w:ind w:left="720" w:hanging="720"/>
        <w:rPr>
          <w:rFonts w:ascii="Times New Roman" w:hAnsi="Times New Roman" w:cs="Times New Roman"/>
          <w:sz w:val="24"/>
          <w:szCs w:val="24"/>
        </w:rPr>
      </w:pPr>
      <w:r w:rsidRPr="00BD102E">
        <w:rPr>
          <w:rFonts w:ascii="Times New Roman" w:eastAsiaTheme="minorEastAsia" w:hAnsi="Times New Roman" w:cs="Times New Roman"/>
          <w:sz w:val="24"/>
          <w:szCs w:val="24"/>
        </w:rPr>
        <w:t xml:space="preserve">Stern, C. (2015, July 29). </w:t>
      </w:r>
      <w:r w:rsidRPr="00BD102E">
        <w:rPr>
          <w:rFonts w:ascii="Times New Roman" w:eastAsiaTheme="minorEastAsia" w:hAnsi="Times New Roman" w:cs="Times New Roman"/>
          <w:i/>
          <w:iCs/>
          <w:sz w:val="24"/>
          <w:szCs w:val="24"/>
        </w:rPr>
        <w:t>CVS and Walgreens are completely dominating the US drugstore industry</w:t>
      </w:r>
      <w:r w:rsidRPr="00BD102E">
        <w:rPr>
          <w:rFonts w:ascii="Times New Roman" w:eastAsiaTheme="minorEastAsia" w:hAnsi="Times New Roman" w:cs="Times New Roman"/>
          <w:sz w:val="24"/>
          <w:szCs w:val="24"/>
        </w:rPr>
        <w:t xml:space="preserve">. Business Insider. </w:t>
      </w:r>
      <w:hyperlink r:id="rId22" w:history="1">
        <w:r w:rsidRPr="00BD102E">
          <w:rPr>
            <w:rStyle w:val="Hyperlink"/>
            <w:rFonts w:ascii="Times New Roman" w:eastAsiaTheme="minorEastAsia" w:hAnsi="Times New Roman" w:cs="Times New Roman"/>
            <w:color w:val="0000FF"/>
            <w:sz w:val="24"/>
            <w:szCs w:val="24"/>
          </w:rPr>
          <w:t>https://www.businessinsider.com/cvs-and-walgreens-us-drugstore-market-share-2015-7</w:t>
        </w:r>
      </w:hyperlink>
    </w:p>
    <w:p w14:paraId="4026735D" w14:textId="6FD031FB" w:rsidR="00AB014F" w:rsidRPr="00BD102E" w:rsidRDefault="00AB014F" w:rsidP="00BD102E">
      <w:pPr>
        <w:spacing w:after="0" w:line="480" w:lineRule="auto"/>
        <w:ind w:left="720" w:hanging="720"/>
        <w:rPr>
          <w:rFonts w:ascii="Times New Roman" w:hAnsi="Times New Roman" w:cs="Times New Roman"/>
          <w:sz w:val="24"/>
          <w:szCs w:val="24"/>
        </w:rPr>
      </w:pPr>
      <w:r w:rsidRPr="00BD102E">
        <w:rPr>
          <w:rFonts w:ascii="Times New Roman" w:eastAsia="Times New Roman" w:hAnsi="Times New Roman" w:cs="Times New Roman"/>
          <w:sz w:val="24"/>
          <w:szCs w:val="24"/>
        </w:rPr>
        <w:t xml:space="preserve">Total Assets Turnover Ratio. </w:t>
      </w:r>
      <w:hyperlink r:id="rId23" w:history="1">
        <w:r w:rsidRPr="00BD102E">
          <w:rPr>
            <w:rStyle w:val="Hyperlink"/>
            <w:rFonts w:ascii="Times New Roman" w:eastAsia="Times New Roman" w:hAnsi="Times New Roman" w:cs="Times New Roman"/>
            <w:sz w:val="24"/>
            <w:szCs w:val="24"/>
          </w:rPr>
          <w:t>http://oer2go.org/mods/en-boundless-static/www.boundless.com/finance/textbooks/boundless-finance-textbook/analyzing-financial-statements-3/asset-management-ratios-40/total-assets-turnover-ratio-213-603/index.html</w:t>
        </w:r>
      </w:hyperlink>
      <w:r w:rsidRPr="00BD102E">
        <w:rPr>
          <w:rFonts w:ascii="Times New Roman" w:eastAsia="Times New Roman" w:hAnsi="Times New Roman" w:cs="Times New Roman"/>
          <w:sz w:val="24"/>
          <w:szCs w:val="24"/>
        </w:rPr>
        <w:t>.</w:t>
      </w:r>
    </w:p>
    <w:p w14:paraId="1E2485C3" w14:textId="77777777" w:rsidR="00AB014F" w:rsidRPr="00BD102E" w:rsidRDefault="00AB014F" w:rsidP="00BD102E">
      <w:pPr>
        <w:spacing w:after="0" w:line="480" w:lineRule="auto"/>
        <w:ind w:left="720" w:hanging="720"/>
        <w:rPr>
          <w:rFonts w:ascii="Times New Roman" w:hAnsi="Times New Roman" w:cs="Times New Roman"/>
          <w:sz w:val="24"/>
          <w:szCs w:val="24"/>
        </w:rPr>
      </w:pPr>
      <w:r w:rsidRPr="00BD102E">
        <w:rPr>
          <w:rFonts w:ascii="Times New Roman" w:eastAsiaTheme="minorEastAsia" w:hAnsi="Times New Roman" w:cs="Times New Roman"/>
          <w:sz w:val="24"/>
          <w:szCs w:val="24"/>
        </w:rPr>
        <w:t xml:space="preserve">US healthcare industry trends 2019 | Infiniti research identifies the biggest healthcare industry trends of the year. (2019, November 29). </w:t>
      </w:r>
      <w:hyperlink r:id="rId24" w:history="1">
        <w:r w:rsidRPr="00BD102E">
          <w:rPr>
            <w:rStyle w:val="Hyperlink"/>
            <w:rFonts w:ascii="Times New Roman" w:eastAsiaTheme="minorEastAsia" w:hAnsi="Times New Roman" w:cs="Times New Roman"/>
            <w:color w:val="0000FF"/>
            <w:sz w:val="24"/>
            <w:szCs w:val="24"/>
          </w:rPr>
          <w:t>https://www.businesswire.com/news/home/20191129005246/en/US-Healthcare-Industry-Trends-2019-Infiniti-Research-Identifies-the-Biggest-Healthcare-Industry-Trends-of-the-Year</w:t>
        </w:r>
      </w:hyperlink>
    </w:p>
    <w:p w14:paraId="7A2C4E8C"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Walgreens Financial Ratios for Analysis 2005-2020: WBA. (n.d.). Retrieved October 04, 2020, from </w:t>
      </w:r>
      <w:hyperlink r:id="rId25" w:history="1">
        <w:r w:rsidRPr="00BD102E">
          <w:rPr>
            <w:rStyle w:val="Hyperlink"/>
            <w:rFonts w:ascii="Times New Roman" w:eastAsia="Times New Roman" w:hAnsi="Times New Roman" w:cs="Times New Roman"/>
            <w:sz w:val="24"/>
            <w:szCs w:val="24"/>
          </w:rPr>
          <w:t>https://www.macrotrends.net/stocks/charts/WBA/walgreens/financial-ratios</w:t>
        </w:r>
      </w:hyperlink>
    </w:p>
    <w:p w14:paraId="10CE405B" w14:textId="77777777" w:rsidR="00AB014F" w:rsidRPr="00BD102E"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t xml:space="preserve">Walgreens ROE 2006-2020: WBA. (n.d.). Retrieved October 04, 2020, from </w:t>
      </w:r>
      <w:hyperlink r:id="rId26" w:history="1">
        <w:r w:rsidRPr="00BD102E">
          <w:rPr>
            <w:rStyle w:val="Hyperlink"/>
            <w:rFonts w:ascii="Times New Roman" w:eastAsia="Times New Roman" w:hAnsi="Times New Roman" w:cs="Times New Roman"/>
            <w:sz w:val="24"/>
            <w:szCs w:val="24"/>
          </w:rPr>
          <w:t>https://www.macrotrends.net/stocks/charts/wba/walgreens/roe</w:t>
        </w:r>
      </w:hyperlink>
    </w:p>
    <w:p w14:paraId="5DD5D3F4" w14:textId="6A6D160F" w:rsidR="00AB014F" w:rsidRDefault="00AB014F" w:rsidP="00BD102E">
      <w:pPr>
        <w:spacing w:before="100" w:beforeAutospacing="1" w:after="100" w:afterAutospacing="1" w:line="480" w:lineRule="auto"/>
        <w:ind w:left="567" w:hanging="567"/>
        <w:rPr>
          <w:rFonts w:ascii="Times New Roman" w:eastAsia="Times New Roman" w:hAnsi="Times New Roman" w:cs="Times New Roman"/>
          <w:sz w:val="24"/>
          <w:szCs w:val="24"/>
        </w:rPr>
      </w:pPr>
      <w:r w:rsidRPr="00BD102E">
        <w:rPr>
          <w:rFonts w:ascii="Times New Roman" w:eastAsia="Times New Roman" w:hAnsi="Times New Roman" w:cs="Times New Roman"/>
          <w:sz w:val="24"/>
          <w:szCs w:val="24"/>
        </w:rPr>
        <w:lastRenderedPageBreak/>
        <w:t xml:space="preserve">Wilkins, G. (2020, August 28). </w:t>
      </w:r>
      <w:r w:rsidRPr="00BD102E">
        <w:rPr>
          <w:rFonts w:ascii="Times New Roman" w:eastAsia="Times New Roman" w:hAnsi="Times New Roman" w:cs="Times New Roman"/>
          <w:i/>
          <w:iCs/>
          <w:sz w:val="24"/>
          <w:szCs w:val="24"/>
        </w:rPr>
        <w:t>6 Basic Financial Ratios and What They Reveal</w:t>
      </w:r>
      <w:r w:rsidRPr="00BD102E">
        <w:rPr>
          <w:rFonts w:ascii="Times New Roman" w:eastAsia="Times New Roman" w:hAnsi="Times New Roman" w:cs="Times New Roman"/>
          <w:sz w:val="24"/>
          <w:szCs w:val="24"/>
        </w:rPr>
        <w:t xml:space="preserve">. Investopedia. </w:t>
      </w:r>
      <w:hyperlink r:id="rId27" w:history="1">
        <w:r w:rsidRPr="00BD102E">
          <w:rPr>
            <w:rStyle w:val="Hyperlink"/>
            <w:rFonts w:ascii="Times New Roman" w:eastAsia="Times New Roman" w:hAnsi="Times New Roman" w:cs="Times New Roman"/>
            <w:sz w:val="24"/>
            <w:szCs w:val="24"/>
          </w:rPr>
          <w:t>https://www.investopedia.com/financial-edge/0910/6-basic-financial-ratios-and-what-they-tell-you.aspx</w:t>
        </w:r>
      </w:hyperlink>
      <w:r w:rsidRPr="00BD102E">
        <w:rPr>
          <w:rFonts w:ascii="Times New Roman" w:eastAsia="Times New Roman" w:hAnsi="Times New Roman" w:cs="Times New Roman"/>
          <w:sz w:val="24"/>
          <w:szCs w:val="24"/>
        </w:rPr>
        <w:t>.</w:t>
      </w:r>
    </w:p>
    <w:p w14:paraId="75F42EAA" w14:textId="36EB1301"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7344CD6D" w14:textId="3189B40D"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0ACD2E78" w14:textId="7C7C599A"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498668FF" w14:textId="4476E8CF"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20CE35CD" w14:textId="21F2C2D4"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7929122F" w14:textId="37AB86BE"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4A5CEFA1" w14:textId="6A61CDB3"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451D408A" w14:textId="0E41D949"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0F396F42" w14:textId="03ED0A75" w:rsid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37B6CF98" w14:textId="7B46D0AF" w:rsidR="00FC22E9" w:rsidRDefault="00FC22E9"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66C0BAF0" w14:textId="0AD082A6" w:rsidR="00FC22E9" w:rsidRDefault="00FC22E9"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7C30DEA3" w14:textId="77777777" w:rsidR="00FC22E9" w:rsidRDefault="00FC22E9"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79C80A4D" w14:textId="77777777" w:rsidR="00BD102E" w:rsidRPr="00BD102E" w:rsidRDefault="00BD102E" w:rsidP="00BD102E">
      <w:pPr>
        <w:spacing w:before="100" w:beforeAutospacing="1" w:after="100" w:afterAutospacing="1" w:line="480" w:lineRule="auto"/>
        <w:ind w:left="567" w:hanging="567"/>
        <w:rPr>
          <w:rFonts w:ascii="Times New Roman" w:eastAsia="Times New Roman" w:hAnsi="Times New Roman" w:cs="Times New Roman"/>
          <w:sz w:val="24"/>
          <w:szCs w:val="24"/>
        </w:rPr>
      </w:pPr>
    </w:p>
    <w:p w14:paraId="7B37D84E" w14:textId="1504379A" w:rsidR="00E07A6D" w:rsidRPr="00BD102E" w:rsidRDefault="00E07A6D" w:rsidP="00D8100A">
      <w:pPr>
        <w:spacing w:line="480" w:lineRule="auto"/>
        <w:rPr>
          <w:rFonts w:ascii="Times New Roman" w:hAnsi="Times New Roman" w:cs="Times New Roman"/>
          <w:sz w:val="24"/>
          <w:szCs w:val="24"/>
        </w:rPr>
      </w:pPr>
      <w:bookmarkStart w:id="2" w:name="_GoBack"/>
      <w:bookmarkEnd w:id="2"/>
      <w:r w:rsidRPr="00BD102E">
        <w:rPr>
          <w:rFonts w:ascii="Times New Roman" w:hAnsi="Times New Roman" w:cs="Times New Roman"/>
          <w:b/>
          <w:bCs/>
          <w:sz w:val="24"/>
          <w:szCs w:val="24"/>
        </w:rPr>
        <w:lastRenderedPageBreak/>
        <w:t>Appendix</w:t>
      </w:r>
    </w:p>
    <w:p w14:paraId="2872241F"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Liquidity Measurement Ratio:</w:t>
      </w:r>
    </w:p>
    <w:tbl>
      <w:tblPr>
        <w:tblStyle w:val="TableGrid"/>
        <w:tblW w:w="0" w:type="auto"/>
        <w:tblLook w:val="04A0" w:firstRow="1" w:lastRow="0" w:firstColumn="1" w:lastColumn="0" w:noHBand="0" w:noVBand="1"/>
      </w:tblPr>
      <w:tblGrid>
        <w:gridCol w:w="4675"/>
        <w:gridCol w:w="4675"/>
      </w:tblGrid>
      <w:tr w:rsidR="00E07A6D" w:rsidRPr="00BD102E" w14:paraId="661FDBAD" w14:textId="77777777" w:rsidTr="0058163B">
        <w:tc>
          <w:tcPr>
            <w:tcW w:w="9350" w:type="dxa"/>
            <w:gridSpan w:val="2"/>
            <w:vAlign w:val="center"/>
          </w:tcPr>
          <w:p w14:paraId="3DE06F6F" w14:textId="77777777" w:rsidR="00E07A6D" w:rsidRPr="00BD102E" w:rsidRDefault="00E07A6D" w:rsidP="00BD102E">
            <w:pPr>
              <w:spacing w:line="480" w:lineRule="auto"/>
              <w:jc w:val="center"/>
              <w:rPr>
                <w:rFonts w:ascii="Times New Roman" w:hAnsi="Times New Roman" w:cs="Times New Roman"/>
                <w:b/>
                <w:bCs/>
                <w:sz w:val="24"/>
                <w:szCs w:val="24"/>
              </w:rPr>
            </w:pPr>
            <w:r w:rsidRPr="00BD102E">
              <w:rPr>
                <w:rFonts w:ascii="Times New Roman" w:hAnsi="Times New Roman" w:cs="Times New Roman"/>
                <w:b/>
                <w:bCs/>
                <w:sz w:val="24"/>
                <w:szCs w:val="24"/>
              </w:rPr>
              <w:t>Current Ratio</w:t>
            </w:r>
          </w:p>
        </w:tc>
      </w:tr>
      <w:tr w:rsidR="00E07A6D" w:rsidRPr="00BD102E" w14:paraId="0D0B6949" w14:textId="77777777" w:rsidTr="0058163B">
        <w:tc>
          <w:tcPr>
            <w:tcW w:w="4675" w:type="dxa"/>
            <w:vAlign w:val="center"/>
          </w:tcPr>
          <w:p w14:paraId="6F3B5A54"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Walgreens</w:t>
            </w:r>
          </w:p>
        </w:tc>
        <w:tc>
          <w:tcPr>
            <w:tcW w:w="4675" w:type="dxa"/>
            <w:vAlign w:val="center"/>
          </w:tcPr>
          <w:p w14:paraId="53054A97"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0.7249</w:t>
            </w:r>
          </w:p>
        </w:tc>
      </w:tr>
      <w:tr w:rsidR="00E07A6D" w:rsidRPr="00BD102E" w14:paraId="609BBD24" w14:textId="77777777" w:rsidTr="0058163B">
        <w:tc>
          <w:tcPr>
            <w:tcW w:w="4675" w:type="dxa"/>
            <w:vAlign w:val="center"/>
          </w:tcPr>
          <w:p w14:paraId="09D2D49D"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CVS</w:t>
            </w:r>
          </w:p>
        </w:tc>
        <w:tc>
          <w:tcPr>
            <w:tcW w:w="4675" w:type="dxa"/>
            <w:vAlign w:val="center"/>
          </w:tcPr>
          <w:p w14:paraId="78333C43"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0.9437</w:t>
            </w:r>
          </w:p>
        </w:tc>
      </w:tr>
    </w:tbl>
    <w:p w14:paraId="51B3F002" w14:textId="77777777" w:rsidR="00E07A6D" w:rsidRPr="00BD102E" w:rsidRDefault="00E07A6D" w:rsidP="00BD102E">
      <w:pPr>
        <w:spacing w:line="480" w:lineRule="auto"/>
        <w:rPr>
          <w:rFonts w:ascii="Times New Roman" w:hAnsi="Times New Roman" w:cs="Times New Roman"/>
          <w:sz w:val="24"/>
          <w:szCs w:val="24"/>
        </w:rPr>
      </w:pPr>
    </w:p>
    <w:p w14:paraId="7F0B6612"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Profitability Indicator Ratios:</w:t>
      </w:r>
    </w:p>
    <w:tbl>
      <w:tblPr>
        <w:tblStyle w:val="TableGrid"/>
        <w:tblW w:w="0" w:type="auto"/>
        <w:tblLook w:val="04A0" w:firstRow="1" w:lastRow="0" w:firstColumn="1" w:lastColumn="0" w:noHBand="0" w:noVBand="1"/>
      </w:tblPr>
      <w:tblGrid>
        <w:gridCol w:w="2337"/>
        <w:gridCol w:w="2337"/>
        <w:gridCol w:w="2338"/>
        <w:gridCol w:w="2338"/>
      </w:tblGrid>
      <w:tr w:rsidR="00E07A6D" w:rsidRPr="00BD102E" w14:paraId="0AC3312B" w14:textId="77777777" w:rsidTr="0058163B">
        <w:tc>
          <w:tcPr>
            <w:tcW w:w="9350" w:type="dxa"/>
            <w:gridSpan w:val="4"/>
            <w:vAlign w:val="center"/>
          </w:tcPr>
          <w:p w14:paraId="7357CF93" w14:textId="77777777" w:rsidR="00E07A6D" w:rsidRPr="00BD102E" w:rsidRDefault="00E07A6D" w:rsidP="00BD102E">
            <w:pPr>
              <w:spacing w:line="480" w:lineRule="auto"/>
              <w:jc w:val="center"/>
              <w:rPr>
                <w:rFonts w:ascii="Times New Roman" w:hAnsi="Times New Roman" w:cs="Times New Roman"/>
                <w:b/>
                <w:bCs/>
                <w:sz w:val="24"/>
                <w:szCs w:val="24"/>
              </w:rPr>
            </w:pPr>
            <w:r w:rsidRPr="00BD102E">
              <w:rPr>
                <w:rFonts w:ascii="Times New Roman" w:hAnsi="Times New Roman" w:cs="Times New Roman"/>
                <w:b/>
                <w:bCs/>
                <w:sz w:val="24"/>
                <w:szCs w:val="24"/>
              </w:rPr>
              <w:t>Return on Assets</w:t>
            </w:r>
          </w:p>
        </w:tc>
      </w:tr>
      <w:tr w:rsidR="00E07A6D" w:rsidRPr="00BD102E" w14:paraId="47C8F3CF" w14:textId="77777777" w:rsidTr="0058163B">
        <w:tc>
          <w:tcPr>
            <w:tcW w:w="2337" w:type="dxa"/>
            <w:vAlign w:val="center"/>
          </w:tcPr>
          <w:p w14:paraId="7D41EE59" w14:textId="77777777" w:rsidR="00E07A6D" w:rsidRPr="00BD102E" w:rsidRDefault="00E07A6D" w:rsidP="00BD102E">
            <w:pPr>
              <w:spacing w:line="480" w:lineRule="auto"/>
              <w:rPr>
                <w:rFonts w:ascii="Times New Roman" w:hAnsi="Times New Roman" w:cs="Times New Roman"/>
                <w:sz w:val="24"/>
                <w:szCs w:val="24"/>
              </w:rPr>
            </w:pPr>
          </w:p>
        </w:tc>
        <w:tc>
          <w:tcPr>
            <w:tcW w:w="2337" w:type="dxa"/>
            <w:vAlign w:val="center"/>
          </w:tcPr>
          <w:p w14:paraId="6561C138" w14:textId="77777777" w:rsidR="00E07A6D" w:rsidRPr="00BD102E" w:rsidRDefault="00E07A6D"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2017</w:t>
            </w:r>
          </w:p>
        </w:tc>
        <w:tc>
          <w:tcPr>
            <w:tcW w:w="2338" w:type="dxa"/>
            <w:vAlign w:val="center"/>
          </w:tcPr>
          <w:p w14:paraId="723E68F8" w14:textId="77777777" w:rsidR="00E07A6D" w:rsidRPr="00BD102E" w:rsidRDefault="00E07A6D"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2018</w:t>
            </w:r>
          </w:p>
        </w:tc>
        <w:tc>
          <w:tcPr>
            <w:tcW w:w="2338" w:type="dxa"/>
            <w:vAlign w:val="center"/>
          </w:tcPr>
          <w:p w14:paraId="5F4DD3F3" w14:textId="77777777" w:rsidR="00E07A6D" w:rsidRPr="00BD102E" w:rsidRDefault="00E07A6D"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2019</w:t>
            </w:r>
          </w:p>
        </w:tc>
      </w:tr>
      <w:tr w:rsidR="00E07A6D" w:rsidRPr="00BD102E" w14:paraId="1D3437C1" w14:textId="77777777" w:rsidTr="0058163B">
        <w:tc>
          <w:tcPr>
            <w:tcW w:w="2337" w:type="dxa"/>
            <w:vAlign w:val="center"/>
          </w:tcPr>
          <w:p w14:paraId="033E2093"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Walgreens</w:t>
            </w:r>
          </w:p>
        </w:tc>
        <w:tc>
          <w:tcPr>
            <w:tcW w:w="2337" w:type="dxa"/>
            <w:vAlign w:val="center"/>
          </w:tcPr>
          <w:p w14:paraId="017448C0"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6.21</w:t>
            </w:r>
          </w:p>
        </w:tc>
        <w:tc>
          <w:tcPr>
            <w:tcW w:w="2338" w:type="dxa"/>
            <w:vAlign w:val="center"/>
          </w:tcPr>
          <w:p w14:paraId="65179AB5"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7.39</w:t>
            </w:r>
          </w:p>
        </w:tc>
        <w:tc>
          <w:tcPr>
            <w:tcW w:w="2338" w:type="dxa"/>
            <w:vAlign w:val="center"/>
          </w:tcPr>
          <w:p w14:paraId="559701FD"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5.86</w:t>
            </w:r>
          </w:p>
        </w:tc>
      </w:tr>
      <w:tr w:rsidR="00E07A6D" w:rsidRPr="00BD102E" w14:paraId="03CD8309" w14:textId="77777777" w:rsidTr="0058163B">
        <w:tc>
          <w:tcPr>
            <w:tcW w:w="2337" w:type="dxa"/>
            <w:vAlign w:val="center"/>
          </w:tcPr>
          <w:p w14:paraId="774BAFB7"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CVS</w:t>
            </w:r>
          </w:p>
        </w:tc>
        <w:tc>
          <w:tcPr>
            <w:tcW w:w="2337" w:type="dxa"/>
            <w:vAlign w:val="center"/>
          </w:tcPr>
          <w:p w14:paraId="2DA1000F"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6.97</w:t>
            </w:r>
          </w:p>
        </w:tc>
        <w:tc>
          <w:tcPr>
            <w:tcW w:w="2338" w:type="dxa"/>
            <w:vAlign w:val="center"/>
          </w:tcPr>
          <w:p w14:paraId="148C0D9A"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-0.30</w:t>
            </w:r>
          </w:p>
        </w:tc>
        <w:tc>
          <w:tcPr>
            <w:tcW w:w="2338" w:type="dxa"/>
            <w:vAlign w:val="center"/>
          </w:tcPr>
          <w:p w14:paraId="5BF291BA"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2.98</w:t>
            </w:r>
          </w:p>
        </w:tc>
      </w:tr>
    </w:tbl>
    <w:p w14:paraId="7E28AA69" w14:textId="77777777" w:rsidR="00E07A6D" w:rsidRPr="00BD102E" w:rsidRDefault="00E07A6D" w:rsidP="00BD102E">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6"/>
        <w:gridCol w:w="2338"/>
        <w:gridCol w:w="2338"/>
        <w:gridCol w:w="2338"/>
      </w:tblGrid>
      <w:tr w:rsidR="00BD4773" w:rsidRPr="00BD102E" w14:paraId="175B15E0" w14:textId="77777777" w:rsidTr="0009398F">
        <w:tc>
          <w:tcPr>
            <w:tcW w:w="9350" w:type="dxa"/>
            <w:gridSpan w:val="4"/>
            <w:vAlign w:val="center"/>
          </w:tcPr>
          <w:p w14:paraId="4BE7D173" w14:textId="20130376" w:rsidR="00BD4773" w:rsidRPr="00BD102E" w:rsidRDefault="00BD4773" w:rsidP="00BD102E">
            <w:pPr>
              <w:spacing w:line="480" w:lineRule="auto"/>
              <w:jc w:val="center"/>
              <w:rPr>
                <w:rFonts w:ascii="Times New Roman" w:hAnsi="Times New Roman" w:cs="Times New Roman"/>
                <w:b/>
                <w:bCs/>
                <w:sz w:val="24"/>
                <w:szCs w:val="24"/>
              </w:rPr>
            </w:pPr>
            <w:r w:rsidRPr="00BD102E">
              <w:rPr>
                <w:rFonts w:ascii="Times New Roman" w:hAnsi="Times New Roman" w:cs="Times New Roman"/>
                <w:b/>
                <w:bCs/>
                <w:sz w:val="24"/>
                <w:szCs w:val="24"/>
              </w:rPr>
              <w:t>Return on Equity</w:t>
            </w:r>
          </w:p>
        </w:tc>
      </w:tr>
      <w:tr w:rsidR="00BD4773" w:rsidRPr="00BD102E" w14:paraId="6696943B" w14:textId="77777777" w:rsidTr="00BD4773">
        <w:tc>
          <w:tcPr>
            <w:tcW w:w="2336" w:type="dxa"/>
            <w:vAlign w:val="center"/>
          </w:tcPr>
          <w:p w14:paraId="1C62F7D6" w14:textId="77777777" w:rsidR="00BD4773" w:rsidRPr="00BD102E" w:rsidRDefault="00BD4773" w:rsidP="00BD102E">
            <w:pPr>
              <w:spacing w:line="480" w:lineRule="auto"/>
              <w:rPr>
                <w:rFonts w:ascii="Times New Roman" w:hAnsi="Times New Roman" w:cs="Times New Roman"/>
                <w:sz w:val="24"/>
                <w:szCs w:val="24"/>
              </w:rPr>
            </w:pPr>
          </w:p>
        </w:tc>
        <w:tc>
          <w:tcPr>
            <w:tcW w:w="2338" w:type="dxa"/>
            <w:vAlign w:val="center"/>
          </w:tcPr>
          <w:p w14:paraId="1BCA8ED5" w14:textId="77777777" w:rsidR="00BD4773" w:rsidRPr="00BD102E" w:rsidRDefault="00BD4773"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2017</w:t>
            </w:r>
          </w:p>
        </w:tc>
        <w:tc>
          <w:tcPr>
            <w:tcW w:w="2338" w:type="dxa"/>
            <w:vAlign w:val="center"/>
          </w:tcPr>
          <w:p w14:paraId="44D63CCC" w14:textId="77777777" w:rsidR="00BD4773" w:rsidRPr="00BD102E" w:rsidRDefault="00BD4773"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2018</w:t>
            </w:r>
          </w:p>
        </w:tc>
        <w:tc>
          <w:tcPr>
            <w:tcW w:w="2338" w:type="dxa"/>
            <w:vAlign w:val="center"/>
          </w:tcPr>
          <w:p w14:paraId="69E73985" w14:textId="77777777" w:rsidR="00BD4773" w:rsidRPr="00BD102E" w:rsidRDefault="00BD4773"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2019</w:t>
            </w:r>
          </w:p>
        </w:tc>
      </w:tr>
      <w:tr w:rsidR="00BD4773" w:rsidRPr="00BD102E" w14:paraId="2ECFB239" w14:textId="77777777" w:rsidTr="00BD4773">
        <w:tc>
          <w:tcPr>
            <w:tcW w:w="2336" w:type="dxa"/>
            <w:vAlign w:val="center"/>
          </w:tcPr>
          <w:p w14:paraId="39C1915F" w14:textId="77777777" w:rsidR="00BD4773" w:rsidRPr="00BD102E" w:rsidRDefault="00BD4773"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Walgreens</w:t>
            </w:r>
          </w:p>
        </w:tc>
        <w:tc>
          <w:tcPr>
            <w:tcW w:w="2338" w:type="dxa"/>
            <w:vAlign w:val="center"/>
          </w:tcPr>
          <w:p w14:paraId="51F2BF9B" w14:textId="0386C8ED" w:rsidR="00BD4773" w:rsidRPr="00BD102E" w:rsidRDefault="00BD4773"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13.71</w:t>
            </w:r>
          </w:p>
        </w:tc>
        <w:tc>
          <w:tcPr>
            <w:tcW w:w="2338" w:type="dxa"/>
            <w:vAlign w:val="center"/>
          </w:tcPr>
          <w:p w14:paraId="68AD6BD5" w14:textId="2CF9F252" w:rsidR="00BD4773" w:rsidRPr="00BD102E" w:rsidRDefault="00BD4773"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16.89</w:t>
            </w:r>
          </w:p>
        </w:tc>
        <w:tc>
          <w:tcPr>
            <w:tcW w:w="2338" w:type="dxa"/>
            <w:vAlign w:val="center"/>
          </w:tcPr>
          <w:p w14:paraId="600EB201" w14:textId="1BB2150C" w:rsidR="00BD4773" w:rsidRPr="00BD102E" w:rsidRDefault="00BD4773"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17.18</w:t>
            </w:r>
          </w:p>
        </w:tc>
      </w:tr>
      <w:tr w:rsidR="00BD4773" w:rsidRPr="00BD102E" w14:paraId="5AB38E01" w14:textId="77777777" w:rsidTr="00BD4773">
        <w:tc>
          <w:tcPr>
            <w:tcW w:w="2336" w:type="dxa"/>
            <w:vAlign w:val="center"/>
          </w:tcPr>
          <w:p w14:paraId="70F4F0B9" w14:textId="77777777" w:rsidR="00BD4773" w:rsidRPr="00BD102E" w:rsidRDefault="00BD4773"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CVS</w:t>
            </w:r>
          </w:p>
        </w:tc>
        <w:tc>
          <w:tcPr>
            <w:tcW w:w="2338" w:type="dxa"/>
            <w:vAlign w:val="center"/>
          </w:tcPr>
          <w:p w14:paraId="7FC3D600" w14:textId="01D3C436" w:rsidR="00BD4773" w:rsidRPr="00BD102E" w:rsidRDefault="00BD4773"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15.71</w:t>
            </w:r>
          </w:p>
        </w:tc>
        <w:tc>
          <w:tcPr>
            <w:tcW w:w="2338" w:type="dxa"/>
            <w:vAlign w:val="center"/>
          </w:tcPr>
          <w:p w14:paraId="16F5B451" w14:textId="731FD384" w:rsidR="00BD4773" w:rsidRPr="00BD102E" w:rsidRDefault="00BD4773"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8.38</w:t>
            </w:r>
          </w:p>
        </w:tc>
        <w:tc>
          <w:tcPr>
            <w:tcW w:w="2338" w:type="dxa"/>
            <w:vAlign w:val="center"/>
          </w:tcPr>
          <w:p w14:paraId="6B1333B5" w14:textId="6E7ED844" w:rsidR="00BD4773" w:rsidRPr="00BD102E" w:rsidRDefault="00BD4773"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6.41</w:t>
            </w:r>
          </w:p>
        </w:tc>
      </w:tr>
    </w:tbl>
    <w:p w14:paraId="097F8488" w14:textId="77777777" w:rsidR="00E07A6D" w:rsidRPr="00BD102E" w:rsidRDefault="00E07A6D" w:rsidP="00BD102E">
      <w:pPr>
        <w:spacing w:line="480" w:lineRule="auto"/>
        <w:rPr>
          <w:rFonts w:ascii="Times New Roman" w:hAnsi="Times New Roman" w:cs="Times New Roman"/>
          <w:sz w:val="24"/>
          <w:szCs w:val="24"/>
        </w:rPr>
      </w:pPr>
    </w:p>
    <w:p w14:paraId="7C0C1CCF"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Debt Ratio:</w:t>
      </w:r>
    </w:p>
    <w:tbl>
      <w:tblPr>
        <w:tblStyle w:val="TableGrid"/>
        <w:tblW w:w="0" w:type="auto"/>
        <w:tblLook w:val="04A0" w:firstRow="1" w:lastRow="0" w:firstColumn="1" w:lastColumn="0" w:noHBand="0" w:noVBand="1"/>
      </w:tblPr>
      <w:tblGrid>
        <w:gridCol w:w="4675"/>
        <w:gridCol w:w="4675"/>
      </w:tblGrid>
      <w:tr w:rsidR="00E07A6D" w:rsidRPr="00BD102E" w14:paraId="3D9E673C" w14:textId="77777777" w:rsidTr="0058163B">
        <w:tc>
          <w:tcPr>
            <w:tcW w:w="9350" w:type="dxa"/>
            <w:gridSpan w:val="2"/>
          </w:tcPr>
          <w:p w14:paraId="77BA355F" w14:textId="77777777" w:rsidR="00E07A6D" w:rsidRPr="00BD102E" w:rsidRDefault="00E07A6D" w:rsidP="00BD102E">
            <w:pPr>
              <w:spacing w:line="480" w:lineRule="auto"/>
              <w:jc w:val="center"/>
              <w:rPr>
                <w:rFonts w:ascii="Times New Roman" w:hAnsi="Times New Roman" w:cs="Times New Roman"/>
                <w:b/>
                <w:bCs/>
                <w:sz w:val="24"/>
                <w:szCs w:val="24"/>
              </w:rPr>
            </w:pPr>
            <w:r w:rsidRPr="00BD102E">
              <w:rPr>
                <w:rFonts w:ascii="Times New Roman" w:hAnsi="Times New Roman" w:cs="Times New Roman"/>
                <w:b/>
                <w:bCs/>
                <w:sz w:val="24"/>
                <w:szCs w:val="24"/>
              </w:rPr>
              <w:t>Debt Ratio</w:t>
            </w:r>
          </w:p>
        </w:tc>
      </w:tr>
      <w:tr w:rsidR="00E07A6D" w:rsidRPr="00BD102E" w14:paraId="1F2A153D" w14:textId="77777777" w:rsidTr="0058163B">
        <w:tc>
          <w:tcPr>
            <w:tcW w:w="4675" w:type="dxa"/>
            <w:vAlign w:val="center"/>
          </w:tcPr>
          <w:p w14:paraId="00EB4E07"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Walgreens</w:t>
            </w:r>
          </w:p>
        </w:tc>
        <w:tc>
          <w:tcPr>
            <w:tcW w:w="4675" w:type="dxa"/>
            <w:vAlign w:val="center"/>
          </w:tcPr>
          <w:p w14:paraId="5E1D253A"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1.80</w:t>
            </w:r>
          </w:p>
        </w:tc>
      </w:tr>
      <w:tr w:rsidR="00E07A6D" w:rsidRPr="00BD102E" w14:paraId="0EAF5CF6" w14:textId="77777777" w:rsidTr="0058163B">
        <w:tc>
          <w:tcPr>
            <w:tcW w:w="4675" w:type="dxa"/>
            <w:vAlign w:val="center"/>
          </w:tcPr>
          <w:p w14:paraId="2C7D8B12"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CVS</w:t>
            </w:r>
          </w:p>
        </w:tc>
        <w:tc>
          <w:tcPr>
            <w:tcW w:w="4675" w:type="dxa"/>
            <w:vAlign w:val="center"/>
          </w:tcPr>
          <w:p w14:paraId="674CF712"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0.71</w:t>
            </w:r>
          </w:p>
        </w:tc>
      </w:tr>
    </w:tbl>
    <w:p w14:paraId="788E00A9" w14:textId="77777777" w:rsidR="00E07A6D" w:rsidRPr="00BD102E" w:rsidRDefault="00E07A6D" w:rsidP="00BD102E">
      <w:pPr>
        <w:spacing w:line="480" w:lineRule="auto"/>
        <w:rPr>
          <w:rFonts w:ascii="Times New Roman" w:hAnsi="Times New Roman" w:cs="Times New Roman"/>
          <w:sz w:val="24"/>
          <w:szCs w:val="24"/>
        </w:rPr>
      </w:pPr>
    </w:p>
    <w:p w14:paraId="7ABC558B"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Operating Performance Ratio:</w:t>
      </w:r>
    </w:p>
    <w:tbl>
      <w:tblPr>
        <w:tblStyle w:val="TableGrid"/>
        <w:tblW w:w="0" w:type="auto"/>
        <w:tblLook w:val="04A0" w:firstRow="1" w:lastRow="0" w:firstColumn="1" w:lastColumn="0" w:noHBand="0" w:noVBand="1"/>
      </w:tblPr>
      <w:tblGrid>
        <w:gridCol w:w="2337"/>
        <w:gridCol w:w="2337"/>
        <w:gridCol w:w="2338"/>
        <w:gridCol w:w="2338"/>
      </w:tblGrid>
      <w:tr w:rsidR="00E07A6D" w:rsidRPr="00BD102E" w14:paraId="4CBAC61B" w14:textId="77777777" w:rsidTr="0058163B">
        <w:tc>
          <w:tcPr>
            <w:tcW w:w="9350" w:type="dxa"/>
            <w:gridSpan w:val="4"/>
          </w:tcPr>
          <w:p w14:paraId="262AA2F8" w14:textId="77777777" w:rsidR="00E07A6D" w:rsidRPr="00BD102E" w:rsidRDefault="00E07A6D" w:rsidP="00BD102E">
            <w:pPr>
              <w:spacing w:line="480" w:lineRule="auto"/>
              <w:jc w:val="center"/>
              <w:rPr>
                <w:rFonts w:ascii="Times New Roman" w:hAnsi="Times New Roman" w:cs="Times New Roman"/>
                <w:b/>
                <w:bCs/>
                <w:sz w:val="24"/>
                <w:szCs w:val="24"/>
              </w:rPr>
            </w:pPr>
            <w:r w:rsidRPr="00BD102E">
              <w:rPr>
                <w:rFonts w:ascii="Times New Roman" w:hAnsi="Times New Roman" w:cs="Times New Roman"/>
                <w:b/>
                <w:bCs/>
                <w:sz w:val="24"/>
                <w:szCs w:val="24"/>
              </w:rPr>
              <w:t>Fixed Asset Turnover Ratio</w:t>
            </w:r>
          </w:p>
        </w:tc>
      </w:tr>
      <w:tr w:rsidR="00E07A6D" w:rsidRPr="00BD102E" w14:paraId="39C1D305" w14:textId="77777777" w:rsidTr="0058163B">
        <w:tc>
          <w:tcPr>
            <w:tcW w:w="2337" w:type="dxa"/>
          </w:tcPr>
          <w:p w14:paraId="344ED49F" w14:textId="77777777" w:rsidR="00E07A6D" w:rsidRPr="00BD102E" w:rsidRDefault="00E07A6D" w:rsidP="00BD102E">
            <w:pPr>
              <w:spacing w:line="480" w:lineRule="auto"/>
              <w:rPr>
                <w:rFonts w:ascii="Times New Roman" w:hAnsi="Times New Roman" w:cs="Times New Roman"/>
                <w:sz w:val="24"/>
                <w:szCs w:val="24"/>
              </w:rPr>
            </w:pPr>
          </w:p>
        </w:tc>
        <w:tc>
          <w:tcPr>
            <w:tcW w:w="2337" w:type="dxa"/>
            <w:vAlign w:val="center"/>
          </w:tcPr>
          <w:p w14:paraId="4F3FB74B" w14:textId="77777777" w:rsidR="00E07A6D" w:rsidRPr="00BD102E" w:rsidRDefault="00E07A6D"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2017</w:t>
            </w:r>
          </w:p>
        </w:tc>
        <w:tc>
          <w:tcPr>
            <w:tcW w:w="2338" w:type="dxa"/>
            <w:vAlign w:val="center"/>
          </w:tcPr>
          <w:p w14:paraId="5A67A8C9" w14:textId="77777777" w:rsidR="00E07A6D" w:rsidRPr="00BD102E" w:rsidRDefault="00E07A6D"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2018</w:t>
            </w:r>
          </w:p>
        </w:tc>
        <w:tc>
          <w:tcPr>
            <w:tcW w:w="2338" w:type="dxa"/>
            <w:vAlign w:val="center"/>
          </w:tcPr>
          <w:p w14:paraId="55C3207A" w14:textId="77777777" w:rsidR="00E07A6D" w:rsidRPr="00BD102E" w:rsidRDefault="00E07A6D" w:rsidP="00BD102E">
            <w:pPr>
              <w:spacing w:line="480" w:lineRule="auto"/>
              <w:jc w:val="center"/>
              <w:rPr>
                <w:rFonts w:ascii="Times New Roman" w:hAnsi="Times New Roman" w:cs="Times New Roman"/>
                <w:sz w:val="24"/>
                <w:szCs w:val="24"/>
              </w:rPr>
            </w:pPr>
            <w:r w:rsidRPr="00BD102E">
              <w:rPr>
                <w:rFonts w:ascii="Times New Roman" w:hAnsi="Times New Roman" w:cs="Times New Roman"/>
                <w:sz w:val="24"/>
                <w:szCs w:val="24"/>
              </w:rPr>
              <w:t>2019</w:t>
            </w:r>
          </w:p>
        </w:tc>
      </w:tr>
      <w:tr w:rsidR="00E07A6D" w:rsidRPr="00BD102E" w14:paraId="23119EEA" w14:textId="77777777" w:rsidTr="0058163B">
        <w:tc>
          <w:tcPr>
            <w:tcW w:w="2337" w:type="dxa"/>
            <w:vAlign w:val="center"/>
          </w:tcPr>
          <w:p w14:paraId="5BC93377"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Walgreens</w:t>
            </w:r>
          </w:p>
        </w:tc>
        <w:tc>
          <w:tcPr>
            <w:tcW w:w="2337" w:type="dxa"/>
            <w:vAlign w:val="center"/>
          </w:tcPr>
          <w:p w14:paraId="50C85577"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1.79</w:t>
            </w:r>
          </w:p>
        </w:tc>
        <w:tc>
          <w:tcPr>
            <w:tcW w:w="2338" w:type="dxa"/>
            <w:vAlign w:val="center"/>
          </w:tcPr>
          <w:p w14:paraId="30838C06"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1.93</w:t>
            </w:r>
          </w:p>
        </w:tc>
        <w:tc>
          <w:tcPr>
            <w:tcW w:w="2338" w:type="dxa"/>
            <w:vAlign w:val="center"/>
          </w:tcPr>
          <w:p w14:paraId="419F9B32"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2.02</w:t>
            </w:r>
          </w:p>
        </w:tc>
      </w:tr>
      <w:tr w:rsidR="00E07A6D" w:rsidRPr="00BD102E" w14:paraId="72288A8F" w14:textId="77777777" w:rsidTr="0058163B">
        <w:tc>
          <w:tcPr>
            <w:tcW w:w="2337" w:type="dxa"/>
            <w:vAlign w:val="center"/>
          </w:tcPr>
          <w:p w14:paraId="760A3100"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CVS</w:t>
            </w:r>
          </w:p>
        </w:tc>
        <w:tc>
          <w:tcPr>
            <w:tcW w:w="2337" w:type="dxa"/>
            <w:vAlign w:val="center"/>
          </w:tcPr>
          <w:p w14:paraId="0006BD79"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1.94</w:t>
            </w:r>
          </w:p>
        </w:tc>
        <w:tc>
          <w:tcPr>
            <w:tcW w:w="2338" w:type="dxa"/>
            <w:vAlign w:val="center"/>
          </w:tcPr>
          <w:p w14:paraId="1D9F70CC"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0.99</w:t>
            </w:r>
          </w:p>
        </w:tc>
        <w:tc>
          <w:tcPr>
            <w:tcW w:w="2338" w:type="dxa"/>
            <w:vAlign w:val="center"/>
          </w:tcPr>
          <w:p w14:paraId="08B7118A"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1.15</w:t>
            </w:r>
          </w:p>
        </w:tc>
      </w:tr>
    </w:tbl>
    <w:p w14:paraId="18588F54" w14:textId="77777777" w:rsidR="00E07A6D" w:rsidRPr="00BD102E" w:rsidRDefault="00E07A6D" w:rsidP="00BD102E">
      <w:pPr>
        <w:spacing w:line="480" w:lineRule="auto"/>
        <w:rPr>
          <w:rFonts w:ascii="Times New Roman" w:hAnsi="Times New Roman" w:cs="Times New Roman"/>
          <w:sz w:val="24"/>
          <w:szCs w:val="24"/>
        </w:rPr>
      </w:pPr>
    </w:p>
    <w:p w14:paraId="187F5B44"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 xml:space="preserve">Cash Flow Indicator Ratio: </w:t>
      </w:r>
    </w:p>
    <w:tbl>
      <w:tblPr>
        <w:tblStyle w:val="TableGrid"/>
        <w:tblW w:w="0" w:type="auto"/>
        <w:tblLook w:val="04A0" w:firstRow="1" w:lastRow="0" w:firstColumn="1" w:lastColumn="0" w:noHBand="0" w:noVBand="1"/>
      </w:tblPr>
      <w:tblGrid>
        <w:gridCol w:w="4675"/>
        <w:gridCol w:w="4675"/>
      </w:tblGrid>
      <w:tr w:rsidR="00E07A6D" w:rsidRPr="00BD102E" w14:paraId="00641223" w14:textId="77777777" w:rsidTr="0058163B">
        <w:tc>
          <w:tcPr>
            <w:tcW w:w="9350" w:type="dxa"/>
            <w:gridSpan w:val="2"/>
          </w:tcPr>
          <w:p w14:paraId="68DCF9B2" w14:textId="77777777" w:rsidR="00E07A6D" w:rsidRPr="00BD102E" w:rsidRDefault="00E07A6D" w:rsidP="00BD102E">
            <w:pPr>
              <w:spacing w:line="480" w:lineRule="auto"/>
              <w:jc w:val="center"/>
              <w:rPr>
                <w:rFonts w:ascii="Times New Roman" w:hAnsi="Times New Roman" w:cs="Times New Roman"/>
                <w:b/>
                <w:bCs/>
                <w:sz w:val="24"/>
                <w:szCs w:val="24"/>
              </w:rPr>
            </w:pPr>
            <w:r w:rsidRPr="00BD102E">
              <w:rPr>
                <w:rFonts w:ascii="Times New Roman" w:hAnsi="Times New Roman" w:cs="Times New Roman"/>
                <w:b/>
                <w:bCs/>
                <w:sz w:val="24"/>
                <w:szCs w:val="24"/>
              </w:rPr>
              <w:t>Dividend Payout Ratio</w:t>
            </w:r>
          </w:p>
        </w:tc>
      </w:tr>
      <w:tr w:rsidR="00E07A6D" w:rsidRPr="00BD102E" w14:paraId="2FF798B9" w14:textId="77777777" w:rsidTr="0058163B">
        <w:tc>
          <w:tcPr>
            <w:tcW w:w="4675" w:type="dxa"/>
            <w:vAlign w:val="center"/>
          </w:tcPr>
          <w:p w14:paraId="1A186E7B"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Walgreens</w:t>
            </w:r>
          </w:p>
        </w:tc>
        <w:tc>
          <w:tcPr>
            <w:tcW w:w="4675" w:type="dxa"/>
            <w:vAlign w:val="center"/>
          </w:tcPr>
          <w:p w14:paraId="36532D24"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41.2%</w:t>
            </w:r>
          </w:p>
        </w:tc>
      </w:tr>
      <w:tr w:rsidR="00E07A6D" w:rsidRPr="00BD102E" w14:paraId="0E69C3D9" w14:textId="77777777" w:rsidTr="0058163B">
        <w:tc>
          <w:tcPr>
            <w:tcW w:w="4675" w:type="dxa"/>
            <w:vAlign w:val="center"/>
          </w:tcPr>
          <w:p w14:paraId="48AACAAC"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CVS</w:t>
            </w:r>
          </w:p>
        </w:tc>
        <w:tc>
          <w:tcPr>
            <w:tcW w:w="4675" w:type="dxa"/>
            <w:vAlign w:val="center"/>
          </w:tcPr>
          <w:p w14:paraId="5B2DFDAD"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39.4%</w:t>
            </w:r>
          </w:p>
        </w:tc>
      </w:tr>
    </w:tbl>
    <w:p w14:paraId="0A8B01D3" w14:textId="77777777" w:rsidR="00E07A6D" w:rsidRPr="00BD102E" w:rsidRDefault="00E07A6D" w:rsidP="00BD102E">
      <w:pPr>
        <w:spacing w:line="480" w:lineRule="auto"/>
        <w:rPr>
          <w:rFonts w:ascii="Times New Roman" w:hAnsi="Times New Roman" w:cs="Times New Roman"/>
          <w:sz w:val="24"/>
          <w:szCs w:val="24"/>
        </w:rPr>
      </w:pPr>
    </w:p>
    <w:p w14:paraId="11D1B2A7"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 xml:space="preserve">Investment Valuation Ratio: </w:t>
      </w:r>
    </w:p>
    <w:tbl>
      <w:tblPr>
        <w:tblStyle w:val="TableGrid"/>
        <w:tblW w:w="0" w:type="auto"/>
        <w:tblLook w:val="04A0" w:firstRow="1" w:lastRow="0" w:firstColumn="1" w:lastColumn="0" w:noHBand="0" w:noVBand="1"/>
      </w:tblPr>
      <w:tblGrid>
        <w:gridCol w:w="4675"/>
        <w:gridCol w:w="4675"/>
      </w:tblGrid>
      <w:tr w:rsidR="00E07A6D" w:rsidRPr="00BD102E" w14:paraId="2F4EDBA6" w14:textId="77777777" w:rsidTr="0058163B">
        <w:tc>
          <w:tcPr>
            <w:tcW w:w="9350" w:type="dxa"/>
            <w:gridSpan w:val="2"/>
            <w:vAlign w:val="center"/>
          </w:tcPr>
          <w:p w14:paraId="34BF7095" w14:textId="77777777" w:rsidR="00E07A6D" w:rsidRPr="00BD102E" w:rsidRDefault="00E07A6D" w:rsidP="00BD102E">
            <w:pPr>
              <w:spacing w:line="480" w:lineRule="auto"/>
              <w:jc w:val="center"/>
              <w:rPr>
                <w:rFonts w:ascii="Times New Roman" w:hAnsi="Times New Roman" w:cs="Times New Roman"/>
                <w:b/>
                <w:bCs/>
                <w:sz w:val="24"/>
                <w:szCs w:val="24"/>
              </w:rPr>
            </w:pPr>
            <w:r w:rsidRPr="00BD102E">
              <w:rPr>
                <w:rFonts w:ascii="Times New Roman" w:hAnsi="Times New Roman" w:cs="Times New Roman"/>
                <w:b/>
                <w:bCs/>
                <w:sz w:val="24"/>
                <w:szCs w:val="24"/>
              </w:rPr>
              <w:t>Price / Earnings Ratio</w:t>
            </w:r>
          </w:p>
        </w:tc>
      </w:tr>
      <w:tr w:rsidR="00E07A6D" w:rsidRPr="00BD102E" w14:paraId="0D4B9B50" w14:textId="77777777" w:rsidTr="0058163B">
        <w:tc>
          <w:tcPr>
            <w:tcW w:w="4675" w:type="dxa"/>
            <w:vAlign w:val="center"/>
          </w:tcPr>
          <w:p w14:paraId="7F4D28C5"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Walgreens</w:t>
            </w:r>
          </w:p>
        </w:tc>
        <w:tc>
          <w:tcPr>
            <w:tcW w:w="4675" w:type="dxa"/>
            <w:vAlign w:val="center"/>
          </w:tcPr>
          <w:p w14:paraId="4E2219FB"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43.45</w:t>
            </w:r>
          </w:p>
        </w:tc>
      </w:tr>
      <w:tr w:rsidR="00E07A6D" w:rsidRPr="00BD102E" w14:paraId="6FCD9114" w14:textId="77777777" w:rsidTr="0058163B">
        <w:tc>
          <w:tcPr>
            <w:tcW w:w="4675" w:type="dxa"/>
            <w:vAlign w:val="center"/>
          </w:tcPr>
          <w:p w14:paraId="2891F979" w14:textId="77777777" w:rsidR="00E07A6D"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sz w:val="24"/>
                <w:szCs w:val="24"/>
              </w:rPr>
              <w:t>CVS</w:t>
            </w:r>
          </w:p>
        </w:tc>
        <w:tc>
          <w:tcPr>
            <w:tcW w:w="4675" w:type="dxa"/>
            <w:vAlign w:val="center"/>
          </w:tcPr>
          <w:p w14:paraId="031C4D49" w14:textId="77777777" w:rsidR="00E07A6D" w:rsidRPr="00BD102E" w:rsidRDefault="00E07A6D" w:rsidP="00BD102E">
            <w:pPr>
              <w:spacing w:line="480" w:lineRule="auto"/>
              <w:jc w:val="right"/>
              <w:rPr>
                <w:rFonts w:ascii="Times New Roman" w:hAnsi="Times New Roman" w:cs="Times New Roman"/>
                <w:sz w:val="24"/>
                <w:szCs w:val="24"/>
              </w:rPr>
            </w:pPr>
            <w:r w:rsidRPr="00BD102E">
              <w:rPr>
                <w:rFonts w:ascii="Times New Roman" w:hAnsi="Times New Roman" w:cs="Times New Roman"/>
                <w:sz w:val="24"/>
                <w:szCs w:val="24"/>
              </w:rPr>
              <w:t>9.47</w:t>
            </w:r>
          </w:p>
        </w:tc>
      </w:tr>
    </w:tbl>
    <w:p w14:paraId="44FE6F76" w14:textId="77777777" w:rsidR="00BD102E" w:rsidRDefault="00BD102E" w:rsidP="00BD102E">
      <w:pPr>
        <w:spacing w:line="480" w:lineRule="auto"/>
        <w:rPr>
          <w:rFonts w:ascii="Times New Roman" w:hAnsi="Times New Roman" w:cs="Times New Roman"/>
          <w:sz w:val="24"/>
          <w:szCs w:val="24"/>
        </w:rPr>
      </w:pPr>
    </w:p>
    <w:p w14:paraId="4FF139E7" w14:textId="77777777" w:rsidR="00BD102E" w:rsidRDefault="00BD102E" w:rsidP="00BD102E">
      <w:pPr>
        <w:spacing w:line="480" w:lineRule="auto"/>
        <w:rPr>
          <w:rFonts w:ascii="Times New Roman" w:hAnsi="Times New Roman" w:cs="Times New Roman"/>
          <w:sz w:val="24"/>
          <w:szCs w:val="24"/>
        </w:rPr>
      </w:pPr>
    </w:p>
    <w:p w14:paraId="2032D5C6" w14:textId="7006CCF1" w:rsidR="008E74CA" w:rsidRPr="00BD102E" w:rsidRDefault="00E07A6D" w:rsidP="00BD102E">
      <w:pPr>
        <w:spacing w:line="480" w:lineRule="auto"/>
        <w:rPr>
          <w:rFonts w:ascii="Times New Roman" w:hAnsi="Times New Roman" w:cs="Times New Roman"/>
          <w:sz w:val="24"/>
          <w:szCs w:val="24"/>
        </w:rPr>
      </w:pPr>
      <w:r w:rsidRPr="00BD102E">
        <w:rPr>
          <w:rFonts w:ascii="Times New Roman" w:hAnsi="Times New Roman" w:cs="Times New Roman"/>
          <w:noProof/>
          <w:sz w:val="24"/>
          <w:szCs w:val="24"/>
        </w:rPr>
        <w:lastRenderedPageBreak/>
        <w:drawing>
          <wp:inline distT="0" distB="0" distL="0" distR="0" wp14:anchorId="79122CA2" wp14:editId="49474CA5">
            <wp:extent cx="5943600" cy="4391247"/>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3D74006" w14:textId="03C0062B" w:rsidR="00956DB9" w:rsidRPr="00BD102E" w:rsidRDefault="00956DB9" w:rsidP="00BD102E">
      <w:pPr>
        <w:spacing w:line="480" w:lineRule="auto"/>
        <w:rPr>
          <w:rFonts w:ascii="Times New Roman" w:hAnsi="Times New Roman" w:cs="Times New Roman"/>
          <w:sz w:val="24"/>
          <w:szCs w:val="24"/>
        </w:rPr>
      </w:pPr>
    </w:p>
    <w:p w14:paraId="78B946E1" w14:textId="77777777" w:rsidR="00956DB9" w:rsidRPr="00BD102E" w:rsidRDefault="00956DB9" w:rsidP="00BD102E">
      <w:pPr>
        <w:spacing w:line="480" w:lineRule="auto"/>
        <w:rPr>
          <w:rFonts w:ascii="Times New Roman" w:hAnsi="Times New Roman" w:cs="Times New Roman"/>
          <w:sz w:val="24"/>
          <w:szCs w:val="24"/>
        </w:rPr>
      </w:pPr>
    </w:p>
    <w:sectPr w:rsidR="00956DB9" w:rsidRPr="00BD1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529E0"/>
    <w:multiLevelType w:val="hybridMultilevel"/>
    <w:tmpl w:val="54407A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354"/>
    <w:rsid w:val="0001255F"/>
    <w:rsid w:val="000631BC"/>
    <w:rsid w:val="00385AB8"/>
    <w:rsid w:val="00404929"/>
    <w:rsid w:val="0060485D"/>
    <w:rsid w:val="00681E07"/>
    <w:rsid w:val="007C65F2"/>
    <w:rsid w:val="008330F6"/>
    <w:rsid w:val="00871007"/>
    <w:rsid w:val="008D77E1"/>
    <w:rsid w:val="008E74CA"/>
    <w:rsid w:val="00956DB9"/>
    <w:rsid w:val="00983354"/>
    <w:rsid w:val="009D6520"/>
    <w:rsid w:val="009D6C65"/>
    <w:rsid w:val="00A50EA7"/>
    <w:rsid w:val="00A950E1"/>
    <w:rsid w:val="00AB014F"/>
    <w:rsid w:val="00BD102E"/>
    <w:rsid w:val="00BD4773"/>
    <w:rsid w:val="00C56FB4"/>
    <w:rsid w:val="00CB5B17"/>
    <w:rsid w:val="00D429D0"/>
    <w:rsid w:val="00D8100A"/>
    <w:rsid w:val="00DE12E6"/>
    <w:rsid w:val="00E07A6D"/>
    <w:rsid w:val="00E34A84"/>
    <w:rsid w:val="00EA1E2A"/>
    <w:rsid w:val="00EA507A"/>
    <w:rsid w:val="00EF3907"/>
    <w:rsid w:val="00FC2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799C"/>
  <w15:chartTrackingRefBased/>
  <w15:docId w15:val="{9425A04D-81A6-4769-9379-F88B196EB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77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74CA"/>
    <w:rPr>
      <w:color w:val="0563C1" w:themeColor="hyperlink"/>
      <w:u w:val="single"/>
    </w:rPr>
  </w:style>
  <w:style w:type="paragraph" w:styleId="NormalWeb">
    <w:name w:val="Normal (Web)"/>
    <w:basedOn w:val="Normal"/>
    <w:uiPriority w:val="99"/>
    <w:unhideWhenUsed/>
    <w:rsid w:val="008E74CA"/>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8E74CA"/>
    <w:rPr>
      <w:i/>
      <w:iCs/>
    </w:rPr>
  </w:style>
  <w:style w:type="paragraph" w:styleId="ListParagraph">
    <w:name w:val="List Paragraph"/>
    <w:basedOn w:val="Normal"/>
    <w:uiPriority w:val="34"/>
    <w:qFormat/>
    <w:rsid w:val="008E74CA"/>
    <w:pPr>
      <w:ind w:left="720"/>
      <w:contextualSpacing/>
    </w:pPr>
  </w:style>
  <w:style w:type="table" w:styleId="TableGrid">
    <w:name w:val="Table Grid"/>
    <w:basedOn w:val="TableNormal"/>
    <w:uiPriority w:val="39"/>
    <w:rsid w:val="00E07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063642">
      <w:bodyDiv w:val="1"/>
      <w:marLeft w:val="0"/>
      <w:marRight w:val="0"/>
      <w:marTop w:val="0"/>
      <w:marBottom w:val="0"/>
      <w:divBdr>
        <w:top w:val="none" w:sz="0" w:space="0" w:color="auto"/>
        <w:left w:val="none" w:sz="0" w:space="0" w:color="auto"/>
        <w:bottom w:val="none" w:sz="0" w:space="0" w:color="auto"/>
        <w:right w:val="none" w:sz="0" w:space="0" w:color="auto"/>
      </w:divBdr>
    </w:div>
    <w:div w:id="425224902">
      <w:bodyDiv w:val="1"/>
      <w:marLeft w:val="0"/>
      <w:marRight w:val="0"/>
      <w:marTop w:val="0"/>
      <w:marBottom w:val="0"/>
      <w:divBdr>
        <w:top w:val="none" w:sz="0" w:space="0" w:color="auto"/>
        <w:left w:val="none" w:sz="0" w:space="0" w:color="auto"/>
        <w:bottom w:val="none" w:sz="0" w:space="0" w:color="auto"/>
        <w:right w:val="none" w:sz="0" w:space="0" w:color="auto"/>
      </w:divBdr>
    </w:div>
    <w:div w:id="770394066">
      <w:bodyDiv w:val="1"/>
      <w:marLeft w:val="0"/>
      <w:marRight w:val="0"/>
      <w:marTop w:val="0"/>
      <w:marBottom w:val="0"/>
      <w:divBdr>
        <w:top w:val="none" w:sz="0" w:space="0" w:color="auto"/>
        <w:left w:val="none" w:sz="0" w:space="0" w:color="auto"/>
        <w:bottom w:val="none" w:sz="0" w:space="0" w:color="auto"/>
        <w:right w:val="none" w:sz="0" w:space="0" w:color="auto"/>
      </w:divBdr>
    </w:div>
    <w:div w:id="1120757372">
      <w:bodyDiv w:val="1"/>
      <w:marLeft w:val="0"/>
      <w:marRight w:val="0"/>
      <w:marTop w:val="0"/>
      <w:marBottom w:val="0"/>
      <w:divBdr>
        <w:top w:val="none" w:sz="0" w:space="0" w:color="auto"/>
        <w:left w:val="none" w:sz="0" w:space="0" w:color="auto"/>
        <w:bottom w:val="none" w:sz="0" w:space="0" w:color="auto"/>
        <w:right w:val="none" w:sz="0" w:space="0" w:color="auto"/>
      </w:divBdr>
    </w:div>
    <w:div w:id="1767187718">
      <w:bodyDiv w:val="1"/>
      <w:marLeft w:val="0"/>
      <w:marRight w:val="0"/>
      <w:marTop w:val="0"/>
      <w:marBottom w:val="0"/>
      <w:divBdr>
        <w:top w:val="none" w:sz="0" w:space="0" w:color="auto"/>
        <w:left w:val="none" w:sz="0" w:space="0" w:color="auto"/>
        <w:bottom w:val="none" w:sz="0" w:space="0" w:color="auto"/>
        <w:right w:val="none" w:sz="0" w:space="0" w:color="auto"/>
      </w:divBdr>
    </w:div>
    <w:div w:id="1893729429">
      <w:bodyDiv w:val="1"/>
      <w:marLeft w:val="0"/>
      <w:marRight w:val="0"/>
      <w:marTop w:val="0"/>
      <w:marBottom w:val="0"/>
      <w:divBdr>
        <w:top w:val="none" w:sz="0" w:space="0" w:color="auto"/>
        <w:left w:val="none" w:sz="0" w:space="0" w:color="auto"/>
        <w:bottom w:val="none" w:sz="0" w:space="0" w:color="auto"/>
        <w:right w:val="none" w:sz="0" w:space="0" w:color="auto"/>
      </w:divBdr>
    </w:div>
    <w:div w:id="2017149537">
      <w:bodyDiv w:val="1"/>
      <w:marLeft w:val="0"/>
      <w:marRight w:val="0"/>
      <w:marTop w:val="0"/>
      <w:marBottom w:val="0"/>
      <w:divBdr>
        <w:top w:val="none" w:sz="0" w:space="0" w:color="auto"/>
        <w:left w:val="none" w:sz="0" w:space="0" w:color="auto"/>
        <w:bottom w:val="none" w:sz="0" w:space="0" w:color="auto"/>
        <w:right w:val="none" w:sz="0" w:space="0" w:color="auto"/>
      </w:divBdr>
    </w:div>
    <w:div w:id="213840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ualreports.com/HostedData/AnnualReports/PDF/NYSE_CVS_2019.pdf" TargetMode="External"/><Relationship Id="rId13" Type="http://schemas.openxmlformats.org/officeDocument/2006/relationships/hyperlink" Target="https://www.readyratios.com/sec/industry/80/" TargetMode="External"/><Relationship Id="rId18" Type="http://schemas.openxmlformats.org/officeDocument/2006/relationships/hyperlink" Target="https://www.statista.com/statistics/734171/pharmacies-ranked-by-rx-market-share-in-us/" TargetMode="External"/><Relationship Id="rId26" Type="http://schemas.openxmlformats.org/officeDocument/2006/relationships/hyperlink" Target="https://www.macrotrends.net/stocks/charts/wba/walgreens/roe" TargetMode="External"/><Relationship Id="rId3" Type="http://schemas.openxmlformats.org/officeDocument/2006/relationships/settings" Target="settings.xml"/><Relationship Id="rId21" Type="http://schemas.openxmlformats.org/officeDocument/2006/relationships/hyperlink" Target="https://www.sec.gov/ix?doc=/Archives/edgar/data/64803/000006480320000007/a2019form10-k.htm" TargetMode="External"/><Relationship Id="rId7" Type="http://schemas.openxmlformats.org/officeDocument/2006/relationships/hyperlink" Target="https://cvshealth.com/about/facts-%20%20%20%20and-company-information" TargetMode="External"/><Relationship Id="rId12" Type="http://schemas.openxmlformats.org/officeDocument/2006/relationships/hyperlink" Target="https://www.investopedia.com/terms/s/shareholder.asp" TargetMode="External"/><Relationship Id="rId17" Type="http://schemas.openxmlformats.org/officeDocument/2006/relationships/hyperlink" Target="https://www.business.com/articles/value-of-your-business/" TargetMode="External"/><Relationship Id="rId25" Type="http://schemas.openxmlformats.org/officeDocument/2006/relationships/hyperlink" Target="https://www.macrotrends.net/stocks/charts/WBA/walgreens/financial-ratios" TargetMode="External"/><Relationship Id="rId2" Type="http://schemas.openxmlformats.org/officeDocument/2006/relationships/styles" Target="styles.xml"/><Relationship Id="rId16" Type="http://schemas.openxmlformats.org/officeDocument/2006/relationships/hyperlink" Target="https://www.wsj.com/market-data/quotes/WBA/financials/annual/balance-sheet" TargetMode="External"/><Relationship Id="rId20" Type="http://schemas.openxmlformats.org/officeDocument/2006/relationships/hyperlink" Target="https://www.investopedia.com/ask/answers/021215/what-good-debt-ratio-and-what-bad-debt-ratio.asp"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er2go.org/mods/en-boundless/www.boundless.com/finance/textbooks/boundless-finance-textbook/analyzing-financial-statements-3/the-dupont-equation-roe-roa-and-growth-44/dividend-payments-and-earnings-retention-223-3901/index.html" TargetMode="External"/><Relationship Id="rId11" Type="http://schemas.openxmlformats.org/officeDocument/2006/relationships/hyperlink" Target="http://oer2go.org/mods/en-boundless-static/www.boundless.com/finance/textbooks/boundless-finance-textbook/analyzing-financial-statements-3/asset-management-ratios-40/fixed-assets-turnover-ratio-212-7973/index.html" TargetMode="External"/><Relationship Id="rId24" Type="http://schemas.openxmlformats.org/officeDocument/2006/relationships/hyperlink" Target="https://www.businesswire.com/news/home/20191129005246/en/US-Healthcare-Industry-Trends-2019-Infiniti-Research-Identifies-the-Biggest-Healthcare-Industry-Trends-of-the-Year" TargetMode="External"/><Relationship Id="rId5" Type="http://schemas.openxmlformats.org/officeDocument/2006/relationships/hyperlink" Target="https://www.annualreports.com/HostedData/AnnualReports/PDF/NASDAQ_WBA_2019.pdf" TargetMode="External"/><Relationship Id="rId15" Type="http://schemas.openxmlformats.org/officeDocument/2006/relationships/hyperlink" Target="https://www.wsj.com/market-data/quotes/CVS/financials/annual/balance-sheet" TargetMode="External"/><Relationship Id="rId23" Type="http://schemas.openxmlformats.org/officeDocument/2006/relationships/hyperlink" Target="http://oer2go.org/mods/en-boundless-static/www.boundless.com/finance/textbooks/boundless-finance-textbook/analyzing-financial-statements-3/asset-management-ratios-40/total-assets-turnover-ratio-213-603/index.html" TargetMode="External"/><Relationship Id="rId28" Type="http://schemas.openxmlformats.org/officeDocument/2006/relationships/chart" Target="charts/chart1.xml"/><Relationship Id="rId10" Type="http://schemas.openxmlformats.org/officeDocument/2006/relationships/hyperlink" Target="https://www.macrotrends.net/stocks/charts/cvs/cvs-health/roe" TargetMode="External"/><Relationship Id="rId19" Type="http://schemas.openxmlformats.org/officeDocument/2006/relationships/hyperlink" Target="https://news.walgreens.com/fact-sheets/frequently-asked-questions.htm" TargetMode="External"/><Relationship Id="rId4" Type="http://schemas.openxmlformats.org/officeDocument/2006/relationships/webSettings" Target="webSettings.xml"/><Relationship Id="rId9" Type="http://schemas.openxmlformats.org/officeDocument/2006/relationships/hyperlink" Target="https://www.macrotrends.net/stocks/charts/CVS/cvs-health/financial-ratios" TargetMode="External"/><Relationship Id="rId14" Type="http://schemas.openxmlformats.org/officeDocument/2006/relationships/hyperlink" Target="http://ezproxy.umgc.edu/login?url=https://www-proquest-com.ezproxy.umgc.edu/docview/219245984?accountid=14580" TargetMode="External"/><Relationship Id="rId22" Type="http://schemas.openxmlformats.org/officeDocument/2006/relationships/hyperlink" Target="https://www.businessinsider.com/cvs-and-walgreens-us-drugstore-market-share-2015-7" TargetMode="External"/><Relationship Id="rId27" Type="http://schemas.openxmlformats.org/officeDocument/2006/relationships/hyperlink" Target="https://www.investopedia.com/financial-edge/0910/6-basic-financial-ratios-and-what-they-tell-you.aspx"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2019 Ratio Comparison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Walgreens</c:v>
                </c:pt>
              </c:strCache>
            </c:strRef>
          </c:tx>
          <c:spPr>
            <a:solidFill>
              <a:schemeClr val="accent1"/>
            </a:solidFill>
            <a:ln>
              <a:noFill/>
            </a:ln>
            <a:effectLst/>
          </c:spPr>
          <c:invertIfNegative val="0"/>
          <c:dLbls>
            <c:dLbl>
              <c:idx val="3"/>
              <c:tx>
                <c:rich>
                  <a:bodyPr/>
                  <a:lstStyle/>
                  <a:p>
                    <a:r>
                      <a:rPr lang="en-US"/>
                      <a:t>1.80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26-41AC-8F5B-652A321448B5}"/>
                </c:ext>
              </c:extLst>
            </c:dLbl>
            <c:dLbl>
              <c:idx val="5"/>
              <c:tx>
                <c:rich>
                  <a:bodyPr/>
                  <a:lstStyle/>
                  <a:p>
                    <a:r>
                      <a:rPr lang="en-US"/>
                      <a:t>41.2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26-41AC-8F5B-652A321448B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Current Ratio</c:v>
                </c:pt>
                <c:pt idx="1">
                  <c:v>ROA</c:v>
                </c:pt>
                <c:pt idx="2">
                  <c:v>ROE (%)</c:v>
                </c:pt>
                <c:pt idx="3">
                  <c:v>Debt Ratio</c:v>
                </c:pt>
                <c:pt idx="4">
                  <c:v>Fixed Asset Turnover</c:v>
                </c:pt>
                <c:pt idx="5">
                  <c:v>Dividend Payout Ratio (%)</c:v>
                </c:pt>
                <c:pt idx="6">
                  <c:v>P/E Ratio</c:v>
                </c:pt>
              </c:strCache>
            </c:strRef>
          </c:cat>
          <c:val>
            <c:numRef>
              <c:f>Sheet1!$B$2:$B$8</c:f>
              <c:numCache>
                <c:formatCode>General</c:formatCode>
                <c:ptCount val="7"/>
                <c:pt idx="0">
                  <c:v>0.72489999999999999</c:v>
                </c:pt>
                <c:pt idx="1">
                  <c:v>5.86</c:v>
                </c:pt>
                <c:pt idx="2">
                  <c:v>17.18</c:v>
                </c:pt>
                <c:pt idx="3">
                  <c:v>1.38</c:v>
                </c:pt>
                <c:pt idx="4">
                  <c:v>2.02</c:v>
                </c:pt>
                <c:pt idx="5" formatCode="0.00%">
                  <c:v>41.2</c:v>
                </c:pt>
                <c:pt idx="6">
                  <c:v>43.45</c:v>
                </c:pt>
              </c:numCache>
            </c:numRef>
          </c:val>
          <c:extLst>
            <c:ext xmlns:c16="http://schemas.microsoft.com/office/drawing/2014/chart" uri="{C3380CC4-5D6E-409C-BE32-E72D297353CC}">
              <c16:uniqueId val="{00000002-CD26-41AC-8F5B-652A321448B5}"/>
            </c:ext>
          </c:extLst>
        </c:ser>
        <c:ser>
          <c:idx val="1"/>
          <c:order val="1"/>
          <c:tx>
            <c:strRef>
              <c:f>Sheet1!$C$1</c:f>
              <c:strCache>
                <c:ptCount val="1"/>
                <c:pt idx="0">
                  <c:v>CVS</c:v>
                </c:pt>
              </c:strCache>
            </c:strRef>
          </c:tx>
          <c:spPr>
            <a:solidFill>
              <a:schemeClr val="accent2"/>
            </a:solidFill>
            <a:ln>
              <a:noFill/>
            </a:ln>
            <a:effectLst/>
          </c:spPr>
          <c:invertIfNegative val="0"/>
          <c:dLbls>
            <c:dLbl>
              <c:idx val="0"/>
              <c:layout>
                <c:manualLayout>
                  <c:x val="1.9008514420409718E-3"/>
                  <c:y val="-3.173775162434322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9.0982737734706234E-2"/>
                      <c:h val="4.930033420442835E-2"/>
                    </c:manualLayout>
                  </c15:layout>
                </c:ext>
                <c:ext xmlns:c16="http://schemas.microsoft.com/office/drawing/2014/chart" uri="{C3380CC4-5D6E-409C-BE32-E72D297353CC}">
                  <c16:uniqueId val="{00000003-CD26-41AC-8F5B-652A321448B5}"/>
                </c:ext>
              </c:extLst>
            </c:dLbl>
            <c:dLbl>
              <c:idx val="3"/>
              <c:tx>
                <c:rich>
                  <a:bodyPr/>
                  <a:lstStyle/>
                  <a:p>
                    <a:r>
                      <a:rPr lang="en-US"/>
                      <a:t>0.71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26-41AC-8F5B-652A321448B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Current Ratio</c:v>
                </c:pt>
                <c:pt idx="1">
                  <c:v>ROA</c:v>
                </c:pt>
                <c:pt idx="2">
                  <c:v>ROE (%)</c:v>
                </c:pt>
                <c:pt idx="3">
                  <c:v>Debt Ratio</c:v>
                </c:pt>
                <c:pt idx="4">
                  <c:v>Fixed Asset Turnover</c:v>
                </c:pt>
                <c:pt idx="5">
                  <c:v>Dividend Payout Ratio (%)</c:v>
                </c:pt>
                <c:pt idx="6">
                  <c:v>P/E Ratio</c:v>
                </c:pt>
              </c:strCache>
            </c:strRef>
          </c:cat>
          <c:val>
            <c:numRef>
              <c:f>Sheet1!$C$2:$C$8</c:f>
              <c:numCache>
                <c:formatCode>General</c:formatCode>
                <c:ptCount val="7"/>
                <c:pt idx="0">
                  <c:v>0.94369999999999998</c:v>
                </c:pt>
                <c:pt idx="1">
                  <c:v>2.98</c:v>
                </c:pt>
                <c:pt idx="2">
                  <c:v>6.41</c:v>
                </c:pt>
                <c:pt idx="3">
                  <c:v>1.06</c:v>
                </c:pt>
                <c:pt idx="4">
                  <c:v>1.1499999999999999</c:v>
                </c:pt>
                <c:pt idx="5">
                  <c:v>39.4</c:v>
                </c:pt>
                <c:pt idx="6">
                  <c:v>9.4700000000000006</c:v>
                </c:pt>
              </c:numCache>
            </c:numRef>
          </c:val>
          <c:extLst>
            <c:ext xmlns:c16="http://schemas.microsoft.com/office/drawing/2014/chart" uri="{C3380CC4-5D6E-409C-BE32-E72D297353CC}">
              <c16:uniqueId val="{00000005-CD26-41AC-8F5B-652A321448B5}"/>
            </c:ext>
          </c:extLst>
        </c:ser>
        <c:dLbls>
          <c:showLegendKey val="0"/>
          <c:showVal val="0"/>
          <c:showCatName val="0"/>
          <c:showSerName val="0"/>
          <c:showPercent val="0"/>
          <c:showBubbleSize val="0"/>
        </c:dLbls>
        <c:gapWidth val="219"/>
        <c:overlap val="-27"/>
        <c:axId val="869175439"/>
        <c:axId val="802707199"/>
      </c:barChart>
      <c:catAx>
        <c:axId val="869175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707199"/>
        <c:crosses val="autoZero"/>
        <c:auto val="1"/>
        <c:lblAlgn val="ctr"/>
        <c:lblOffset val="100"/>
        <c:noMultiLvlLbl val="0"/>
      </c:catAx>
      <c:valAx>
        <c:axId val="802707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9175439"/>
        <c:crosses val="autoZero"/>
        <c:crossBetween val="between"/>
      </c:valAx>
      <c:spPr>
        <a:noFill/>
        <a:ln>
          <a:noFill/>
        </a:ln>
        <a:effectLst/>
      </c:spPr>
    </c:plotArea>
    <c:legend>
      <c:legendPos val="b"/>
      <c:layout>
        <c:manualLayout>
          <c:xMode val="edge"/>
          <c:yMode val="edge"/>
          <c:x val="0.36182280099602937"/>
          <c:y val="0.92227008500293217"/>
          <c:w val="0.2784911501446935"/>
          <c:h val="6.037633582136288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16</Pages>
  <Words>3504</Words>
  <Characters>19974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Wagers</dc:creator>
  <cp:keywords/>
  <dc:description/>
  <cp:lastModifiedBy>Nick Wagers</cp:lastModifiedBy>
  <cp:revision>7</cp:revision>
  <dcterms:created xsi:type="dcterms:W3CDTF">2020-10-04T20:54:00Z</dcterms:created>
  <dcterms:modified xsi:type="dcterms:W3CDTF">2020-10-04T21:25:00Z</dcterms:modified>
</cp:coreProperties>
</file>